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288466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0934C0B">
            <w:pPr>
              <w:pStyle w:val="19"/>
              <w:framePr w:wrap="notBeside" w:vAnchor="page" w:hAnchor="page" w:x="1372" w:y="568"/>
              <w:tabs>
                <w:tab w:val="clear" w:pos="4153"/>
                <w:tab w:val="clear" w:pos="8306"/>
              </w:tabs>
              <w:spacing w:line="240" w:lineRule="auto"/>
              <w:jc w:val="left"/>
              <w:rPr>
                <w:rFonts w:ascii="Times New Roman" w:hAnsi="Times New Roman" w:eastAsia="黑体"/>
                <w:sz w:val="21"/>
                <w:szCs w:val="21"/>
              </w:rPr>
            </w:pPr>
            <w:r>
              <w:rPr>
                <w:rFonts w:ascii="Times New Roman" w:hAnsi="Times New Roman" w:eastAsia="黑体"/>
                <w:sz w:val="21"/>
                <w:szCs w:val="21"/>
              </w:rPr>
              <w:t>ICS</w:t>
            </w:r>
          </w:p>
        </w:tc>
        <w:tc>
          <w:tcPr>
            <w:tcW w:w="8855" w:type="dxa"/>
          </w:tcPr>
          <w:p w14:paraId="1DD8FD91">
            <w:pPr>
              <w:pStyle w:val="19"/>
              <w:framePr w:wrap="notBeside" w:vAnchor="page" w:hAnchor="page" w:x="1372" w:y="568"/>
              <w:tabs>
                <w:tab w:val="clear" w:pos="4153"/>
                <w:tab w:val="clear" w:pos="8306"/>
              </w:tabs>
              <w:spacing w:line="240" w:lineRule="auto"/>
              <w:ind w:left="3"/>
              <w:jc w:val="both"/>
              <w:rPr>
                <w:rFonts w:ascii="Times New Roman" w:hAnsi="Times New Roman" w:eastAsia="黑体"/>
                <w:sz w:val="21"/>
                <w:szCs w:val="21"/>
              </w:rPr>
            </w:pPr>
            <w:r>
              <w:rPr>
                <w:rFonts w:ascii="Times New Roman" w:hAnsi="Times New Roman" w:eastAsia="黑体"/>
                <w:sz w:val="21"/>
                <w:szCs w:val="21"/>
              </w:rPr>
              <w:fldChar w:fldCharType="begin">
                <w:ffData>
                  <w:name w:val="ICS"/>
                  <w:enabled/>
                  <w:calcOnExit w:val="0"/>
                  <w:textInput>
                    <w:default w:val="点击此处添加ICS号"/>
                  </w:textInput>
                </w:ffData>
              </w:fldChar>
            </w:r>
            <w:bookmarkStart w:id="0" w:name="ICS"/>
            <w:r>
              <w:rPr>
                <w:rFonts w:ascii="Times New Roman" w:hAnsi="Times New Roman" w:eastAsia="黑体"/>
                <w:sz w:val="21"/>
                <w:szCs w:val="21"/>
              </w:rPr>
              <w:instrText xml:space="preserve"> FORMTEXT </w:instrText>
            </w:r>
            <w:r>
              <w:rPr>
                <w:rFonts w:ascii="Times New Roman" w:hAnsi="Times New Roman" w:eastAsia="黑体"/>
                <w:sz w:val="21"/>
                <w:szCs w:val="21"/>
              </w:rPr>
              <w:fldChar w:fldCharType="separate"/>
            </w:r>
            <w:r>
              <w:rPr>
                <w:rFonts w:ascii="Times New Roman" w:hAnsi="Times New Roman" w:eastAsia="黑体"/>
                <w:sz w:val="21"/>
                <w:szCs w:val="21"/>
              </w:rPr>
              <w:t>71.040.10</w:t>
            </w:r>
            <w:r>
              <w:rPr>
                <w:rFonts w:ascii="Times New Roman" w:hAnsi="Times New Roman" w:eastAsia="黑体"/>
                <w:sz w:val="21"/>
                <w:szCs w:val="21"/>
              </w:rPr>
              <w:fldChar w:fldCharType="end"/>
            </w:r>
            <w:bookmarkEnd w:id="0"/>
          </w:p>
        </w:tc>
      </w:tr>
      <w:tr w14:paraId="58B34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A634A11">
            <w:pPr>
              <w:pStyle w:val="19"/>
              <w:framePr w:wrap="notBeside" w:vAnchor="page" w:hAnchor="page" w:x="1372" w:y="568"/>
              <w:tabs>
                <w:tab w:val="clear" w:pos="4153"/>
                <w:tab w:val="clear" w:pos="8306"/>
              </w:tabs>
              <w:spacing w:before="120" w:line="240" w:lineRule="auto"/>
              <w:jc w:val="left"/>
              <w:rPr>
                <w:rFonts w:ascii="Times New Roman" w:hAnsi="Times New Roman" w:eastAsia="黑体"/>
                <w:sz w:val="21"/>
                <w:szCs w:val="21"/>
              </w:rPr>
            </w:pPr>
            <w:r>
              <w:rPr>
                <w:rFonts w:ascii="Times New Roman" w:hAnsi="Times New Roman" w:eastAsia="黑体"/>
                <w:sz w:val="21"/>
                <w:szCs w:val="21"/>
              </w:rPr>
              <w:t>CCS</w:t>
            </w:r>
          </w:p>
        </w:tc>
        <w:tc>
          <w:tcPr>
            <w:tcW w:w="8855" w:type="dxa"/>
          </w:tcPr>
          <w:p w14:paraId="4E1D64DD">
            <w:pPr>
              <w:pStyle w:val="19"/>
              <w:framePr w:wrap="notBeside" w:vAnchor="page" w:hAnchor="page" w:x="1372" w:y="568"/>
              <w:tabs>
                <w:tab w:val="clear" w:pos="4153"/>
                <w:tab w:val="clear" w:pos="8306"/>
              </w:tabs>
              <w:spacing w:before="120" w:line="240" w:lineRule="auto"/>
              <w:jc w:val="left"/>
              <w:rPr>
                <w:rFonts w:ascii="Times New Roman" w:hAnsi="Times New Roman" w:eastAsia="黑体"/>
                <w:sz w:val="21"/>
                <w:szCs w:val="21"/>
              </w:rPr>
            </w:pPr>
            <w:r>
              <w:rPr>
                <w:rFonts w:ascii="Times New Roman" w:hAnsi="Times New Roman" w:eastAsia="黑体"/>
                <w:sz w:val="21"/>
                <w:szCs w:val="21"/>
              </w:rPr>
              <w:fldChar w:fldCharType="begin">
                <w:ffData>
                  <w:name w:val="CSDN"/>
                  <w:enabled/>
                  <w:calcOnExit w:val="0"/>
                  <w:textInput>
                    <w:default w:val="点击此处添加CCS号"/>
                  </w:textInput>
                </w:ffData>
              </w:fldChar>
            </w:r>
            <w:bookmarkStart w:id="1" w:name="CSDN"/>
            <w:r>
              <w:rPr>
                <w:rFonts w:ascii="Times New Roman" w:hAnsi="Times New Roman" w:eastAsia="黑体"/>
                <w:sz w:val="21"/>
                <w:szCs w:val="21"/>
              </w:rPr>
              <w:instrText xml:space="preserve"> FORMTEXT </w:instrText>
            </w:r>
            <w:r>
              <w:rPr>
                <w:rFonts w:ascii="Times New Roman" w:hAnsi="Times New Roman" w:eastAsia="黑体"/>
                <w:sz w:val="21"/>
                <w:szCs w:val="21"/>
              </w:rPr>
              <w:fldChar w:fldCharType="separate"/>
            </w:r>
            <w:r>
              <w:rPr>
                <w:rFonts w:ascii="Times New Roman" w:hAnsi="Times New Roman" w:eastAsia="黑体"/>
                <w:sz w:val="21"/>
                <w:szCs w:val="21"/>
              </w:rPr>
              <w:t>N 53</w:t>
            </w:r>
            <w:r>
              <w:rPr>
                <w:rFonts w:ascii="Times New Roman" w:hAnsi="Times New Roman" w:eastAsia="黑体"/>
                <w:sz w:val="21"/>
                <w:szCs w:val="21"/>
              </w:rPr>
              <w:fldChar w:fldCharType="end"/>
            </w:r>
            <w:bookmarkEnd w:id="1"/>
          </w:p>
        </w:tc>
      </w:tr>
    </w:tbl>
    <w:tbl>
      <w:tblPr>
        <w:tblStyle w:val="30"/>
        <w:tblpPr w:leftFromText="181" w:rightFromText="181" w:horzAnchor="margin" w:tblpX="3857" w:tblpY="56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4990"/>
      </w:tblGrid>
      <w:tr w14:paraId="3E1361BE">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128" w:hRule="atLeast"/>
        </w:trPr>
        <w:tc>
          <w:tcPr>
            <w:tcW w:w="4990" w:type="dxa"/>
          </w:tcPr>
          <w:p w14:paraId="6FDE4BEB">
            <w:pPr>
              <w:pStyle w:val="53"/>
              <w:framePr w:w="0" w:hRule="auto" w:wrap="auto" w:vAnchor="margin" w:hAnchor="text" w:xAlign="left" w:yAlign="inline"/>
              <w:ind w:firstLine="420"/>
            </w:pPr>
            <w:bookmarkStart w:id="2" w:name="_Hlk26473981"/>
            <w:r>
              <w:fldChar w:fldCharType="begin">
                <w:ffData>
                  <w:name w:val="c1"/>
                  <w:enabled/>
                  <w:calcOnExit w:val="0"/>
                  <w:textInput>
                    <w:maxLength w:val="8"/>
                  </w:textInput>
                </w:ffData>
              </w:fldChar>
            </w:r>
            <w:bookmarkStart w:id="3" w:name="c1"/>
            <w:r>
              <w:instrText xml:space="preserve"> FORMTEXT </w:instrText>
            </w:r>
            <w:r>
              <w:fldChar w:fldCharType="separate"/>
            </w:r>
            <w:r>
              <w:t>JB</w:t>
            </w:r>
            <w:r>
              <w:fldChar w:fldCharType="end"/>
            </w:r>
            <w:bookmarkEnd w:id="3"/>
          </w:p>
        </w:tc>
      </w:tr>
    </w:tbl>
    <w:p w14:paraId="08999B1B">
      <w:pPr>
        <w:pStyle w:val="54"/>
        <w:framePr w:w="9639" w:h="624" w:hRule="exact" w:hSpace="181" w:vSpace="181" w:wrap="around" w:hAnchor="page" w:x="1305" w:y="2269"/>
        <w:rPr>
          <w:rFonts w:ascii="Times New Roman" w:eastAsia="黑体"/>
          <w:b w:val="0"/>
          <w:bCs w:val="0"/>
          <w:w w:val="100"/>
          <w:sz w:val="48"/>
          <w:szCs w:val="48"/>
        </w:rPr>
      </w:pPr>
      <w:r>
        <w:rPr>
          <w:rFonts w:ascii="Times New Roman" w:eastAsia="黑体"/>
          <w:b w:val="0"/>
          <w:bCs w:val="0"/>
          <w:w w:val="100"/>
          <w:sz w:val="48"/>
          <w:szCs w:val="48"/>
        </w:rPr>
        <w:t>中华人民共和国</w:t>
      </w:r>
      <w:r>
        <w:rPr>
          <w:rFonts w:ascii="Times New Roman" w:eastAsia="黑体"/>
          <w:b w:val="0"/>
          <w:bCs w:val="0"/>
          <w:w w:val="100"/>
          <w:sz w:val="48"/>
        </w:rPr>
        <w:fldChar w:fldCharType="begin">
          <w:ffData>
            <w:name w:val="c2"/>
            <w:enabled/>
            <w:calcOnExit w:val="0"/>
            <w:textInput/>
          </w:ffData>
        </w:fldChar>
      </w:r>
      <w:bookmarkStart w:id="4" w:name="c2"/>
      <w:r>
        <w:rPr>
          <w:rFonts w:ascii="Times New Roman" w:eastAsia="黑体"/>
          <w:b w:val="0"/>
          <w:bCs w:val="0"/>
          <w:w w:val="100"/>
          <w:sz w:val="48"/>
        </w:rPr>
        <w:instrText xml:space="preserve"> FORMTEXT </w:instrText>
      </w:r>
      <w:r>
        <w:rPr>
          <w:rFonts w:ascii="Times New Roman" w:eastAsia="黑体"/>
          <w:b w:val="0"/>
          <w:bCs w:val="0"/>
          <w:w w:val="100"/>
          <w:sz w:val="48"/>
        </w:rPr>
        <w:fldChar w:fldCharType="separate"/>
      </w:r>
      <w:r>
        <w:rPr>
          <w:rFonts w:ascii="Times New Roman" w:eastAsia="黑体"/>
          <w:b w:val="0"/>
          <w:bCs w:val="0"/>
          <w:w w:val="100"/>
          <w:sz w:val="48"/>
        </w:rPr>
        <w:t>机械</w:t>
      </w:r>
      <w:r>
        <w:rPr>
          <w:rFonts w:ascii="Times New Roman" w:eastAsia="黑体"/>
          <w:b w:val="0"/>
          <w:bCs w:val="0"/>
          <w:w w:val="100"/>
          <w:sz w:val="48"/>
        </w:rPr>
        <w:fldChar w:fldCharType="end"/>
      </w:r>
      <w:bookmarkEnd w:id="4"/>
      <w:r>
        <w:rPr>
          <w:rFonts w:ascii="Times New Roman" w:eastAsia="黑体"/>
          <w:b w:val="0"/>
          <w:bCs w:val="0"/>
          <w:w w:val="100"/>
          <w:sz w:val="48"/>
          <w:szCs w:val="48"/>
        </w:rPr>
        <w:t>行业标准</w:t>
      </w:r>
    </w:p>
    <w:bookmarkEnd w:id="2"/>
    <w:p w14:paraId="07E00F90">
      <w:pPr>
        <w:pStyle w:val="199"/>
        <w:framePr/>
        <w:rPr>
          <w:rFonts w:ascii="Times New Roman"/>
          <w:lang w:val="fr-FR"/>
        </w:rPr>
      </w:pPr>
      <w:r>
        <w:rPr>
          <w:rFonts w:ascii="Times New Roman"/>
        </w:rPr>
        <w:fldChar w:fldCharType="begin">
          <w:ffData>
            <w:name w:val="文字1"/>
            <w:enabled/>
            <w:calcOnExit w:val="0"/>
            <w:textInput>
              <w:default w:val="XX/T"/>
            </w:textInput>
          </w:ffData>
        </w:fldChar>
      </w:r>
      <w:bookmarkStart w:id="5" w:name="文字1"/>
      <w:r>
        <w:rPr>
          <w:rFonts w:ascii="Times New Roman"/>
          <w:lang w:val="fr-FR"/>
        </w:rPr>
        <w:instrText xml:space="preserve"> FORMTEXT </w:instrText>
      </w:r>
      <w:r>
        <w:rPr>
          <w:rFonts w:ascii="Times New Roman"/>
        </w:rPr>
        <w:fldChar w:fldCharType="separate"/>
      </w:r>
      <w:r>
        <w:rPr>
          <w:rFonts w:hint="eastAsia" w:ascii="Times New Roman"/>
          <w:lang w:val="en-US" w:eastAsia="zh-CN"/>
        </w:rPr>
        <w:t>JB</w:t>
      </w:r>
      <w:r>
        <w:rPr>
          <w:rFonts w:ascii="Times New Roman"/>
          <w:lang w:val="fr-FR"/>
        </w:rPr>
        <w:t>/T</w:t>
      </w:r>
      <w:r>
        <w:rPr>
          <w:rFonts w:ascii="Times New Roman"/>
        </w:rPr>
        <w:fldChar w:fldCharType="end"/>
      </w:r>
      <w:bookmarkEnd w:id="5"/>
      <w:r>
        <w:rPr>
          <w:rFonts w:ascii="Times New Roman"/>
        </w:rPr>
        <w:fldChar w:fldCharType="begin">
          <w:ffData>
            <w:name w:val="NSTD_CODE_F"/>
            <w:enabled/>
            <w:calcOnExit w:val="0"/>
            <w:textInput>
              <w:default w:val="XXXXX"/>
            </w:textInput>
          </w:ffData>
        </w:fldChar>
      </w:r>
      <w:bookmarkStart w:id="6" w:name="NSTD_CODE_F"/>
      <w:r>
        <w:rPr>
          <w:rFonts w:ascii="Times New Roman"/>
          <w:lang w:val="fr-FR"/>
        </w:rPr>
        <w:instrText xml:space="preserve"> FORMTEXT </w:instrText>
      </w:r>
      <w:r>
        <w:rPr>
          <w:rFonts w:ascii="Times New Roman"/>
        </w:rPr>
        <w:fldChar w:fldCharType="separate"/>
      </w:r>
      <w:r>
        <w:rPr>
          <w:rFonts w:ascii="Times New Roman"/>
          <w:lang w:val="fr-FR"/>
        </w:rPr>
        <w:t>XXXXX</w:t>
      </w:r>
      <w:r>
        <w:rPr>
          <w:rFonts w:ascii="Times New Roman"/>
        </w:rPr>
        <w:fldChar w:fldCharType="end"/>
      </w:r>
      <w:bookmarkEnd w:id="6"/>
      <w:r>
        <w:rPr>
          <w:rFonts w:ascii="Times New Roman"/>
          <w:lang w:val="fr-FR"/>
        </w:rPr>
        <w:t>—</w:t>
      </w:r>
      <w:r>
        <w:rPr>
          <w:rFonts w:ascii="Times New Roman"/>
        </w:rPr>
        <w:fldChar w:fldCharType="begin">
          <w:ffData>
            <w:name w:val="NSTD_CODE_B"/>
            <w:enabled/>
            <w:calcOnExit w:val="0"/>
            <w:textInput>
              <w:default w:val="XXXX"/>
            </w:textInput>
          </w:ffData>
        </w:fldChar>
      </w:r>
      <w:bookmarkStart w:id="7" w:name="NSTD_CODE_B"/>
      <w:r>
        <w:rPr>
          <w:rFonts w:ascii="Times New Roman"/>
          <w:lang w:val="fr-FR"/>
        </w:rPr>
        <w:instrText xml:space="preserve"> FORMTEXT </w:instrText>
      </w:r>
      <w:r>
        <w:rPr>
          <w:rFonts w:ascii="Times New Roman"/>
        </w:rPr>
        <w:fldChar w:fldCharType="separate"/>
      </w:r>
      <w:r>
        <w:rPr>
          <w:rFonts w:ascii="Times New Roman"/>
          <w:lang w:val="fr-FR"/>
        </w:rPr>
        <w:t>XXXX</w:t>
      </w:r>
      <w:r>
        <w:rPr>
          <w:rFonts w:ascii="Times New Roman"/>
        </w:rPr>
        <w:fldChar w:fldCharType="end"/>
      </w:r>
      <w:bookmarkEnd w:id="7"/>
    </w:p>
    <w:p w14:paraId="39C1B5FE">
      <w:pPr>
        <w:pStyle w:val="200"/>
        <w:framePr/>
        <w:rPr>
          <w:rFonts w:ascii="Times New Roman"/>
          <w:lang w:val="fr-FR"/>
        </w:rPr>
      </w:pPr>
    </w:p>
    <w:p w14:paraId="576FB155">
      <w:pPr>
        <w:spacing w:line="240" w:lineRule="auto"/>
        <w:ind w:firstLine="200"/>
        <w:rPr>
          <w:rFonts w:ascii="Times New Roman" w:hAnsi="Times New Roman" w:eastAsia="黑体"/>
          <w:kern w:val="0"/>
          <w:sz w:val="10"/>
          <w:szCs w:val="10"/>
          <w:lang w:val="fr-FR"/>
        </w:rPr>
      </w:pPr>
      <w:r>
        <w:rPr>
          <w:rFonts w:ascii="Times New Roman" w:hAnsi="Times New Roman"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0" b="0"/>
                <wp:wrapNone/>
                <wp:docPr id="206517826"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2"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70/p6+oBAACyAwAADgAAAGRycy9lMm9Eb2MueG1srVNL&#10;jhMxEN0jcQfLe9JJo4Shlc4sEg2bASLNcADH7U5b2C7L5aSTS3ABJHawYsl+bsNwDMrOh2HYzIJe&#10;WHZ9XtV7VT293FnDtiqgBlfz0WDImXISGu3WNf9we/XigjOMwjXCgFM13yvkl7Pnz6a9r1QJHZhG&#10;BUYgDqve17yL0VdFgbJTVuAAvHLkbCFYEekZ1kUTRE/o1hTlcDgpegiNDyAVIlkXByc/IoanAELb&#10;aqkWIDdWuXhADcqISJSw0x75LHfbtkrG922LKjJTc2Ia80lF6L5KZzGbimodhO+0PLYgntLCI05W&#10;aEdFz1ALEQXbBP0PlNUyAEIbBxJscSCSFSEWo+EjbW464VXmQlKjP4uO/w9WvtsuA9NNzcvhZDx6&#10;dVFOOHPC0uDvP//4+enrr7svdN5//8bKJFbvsaKcuVuGRFfu3I2/BvkRmYN5J9xa5aZv954QRimj&#10;+CslPdBTyVX/FhqKEZsIWbldG2yCJE3YLg9ofx6Q2kUmyTgZkUovaXby5CtEdUr0AeMbBZalS82N&#10;dkk7UYntNcbUiKhOIcns4Eobk+dvHOtr/npcjnMCgtFNcqYwDOvV3AS2FWmD8pdZkedhWICNaw5F&#10;jDuSTjwPiq2g2S/DSQwaZe7muHZpVx6+c/afX232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J3+&#10;I8zYAAAADAEAAA8AAAAAAAAAAQAgAAAAIgAAAGRycy9kb3ducmV2LnhtbFBLAQIUABQAAAAIAIdO&#10;4kDvT+nr6gEAALIDAAAOAAAAAAAAAAEAIAAAACcBAABkcnMvZTJvRG9jLnhtbFBLBQYAAAAABgAG&#10;AFkBAACDBQAAAAA=&#10;">
                <v:fill on="f" focussize="0,0"/>
                <v:stroke color="#000000" joinstyle="round"/>
                <v:imagedata o:title=""/>
                <o:lock v:ext="edit" aspectratio="f"/>
              </v:line>
            </w:pict>
          </mc:Fallback>
        </mc:AlternateContent>
      </w:r>
    </w:p>
    <w:p w14:paraId="72F2DE78">
      <w:pPr>
        <w:pStyle w:val="54"/>
        <w:framePr w:w="9639" w:h="6976" w:hRule="exact" w:hSpace="0" w:vSpace="0" w:wrap="around" w:hAnchor="page" w:y="6408"/>
        <w:jc w:val="center"/>
        <w:rPr>
          <w:rFonts w:ascii="Times New Roman" w:eastAsia="黑体"/>
          <w:b w:val="0"/>
          <w:bCs w:val="0"/>
          <w:w w:val="100"/>
          <w:lang w:val="fr-FR"/>
        </w:rPr>
      </w:pPr>
    </w:p>
    <w:p w14:paraId="6A4DA491">
      <w:pPr>
        <w:pStyle w:val="201"/>
        <w:framePr w:h="6974" w:hRule="exact" w:wrap="around" w:x="1419" w:anchorLock="1"/>
        <w:rPr>
          <w:rFonts w:ascii="Times New Roman" w:hAnsi="Times New Roman"/>
        </w:rPr>
      </w:pPr>
      <w:r>
        <w:rPr>
          <w:rFonts w:ascii="Times New Roman" w:hAnsi="Times New Roman"/>
        </w:rPr>
        <w:fldChar w:fldCharType="begin">
          <w:ffData>
            <w:name w:val="CSTD_NAME"/>
            <w:enabled/>
            <w:calcOnExit w:val="0"/>
            <w:textInput>
              <w:default w:val="点击此处添加标准名称"/>
            </w:textInput>
          </w:ffData>
        </w:fldChar>
      </w:r>
      <w:bookmarkStart w:id="8" w:name="CSTD_NAME"/>
      <w:r>
        <w:rPr>
          <w:rFonts w:ascii="Times New Roman" w:hAnsi="Times New Roman"/>
        </w:rPr>
        <w:instrText xml:space="preserve"> FORMTEXT </w:instrText>
      </w:r>
      <w:r>
        <w:rPr>
          <w:rFonts w:ascii="Times New Roman" w:hAnsi="Times New Roman"/>
        </w:rPr>
        <w:fldChar w:fldCharType="separate"/>
      </w:r>
      <w:r>
        <w:rPr>
          <w:rFonts w:ascii="Times New Roman" w:hAnsi="Times New Roman"/>
        </w:rPr>
        <w:t>基于傅立叶红外法的温室气体在线监测仪</w:t>
      </w:r>
      <w:r>
        <w:rPr>
          <w:rFonts w:ascii="Times New Roman" w:hAnsi="Times New Roman"/>
        </w:rPr>
        <w:fldChar w:fldCharType="end"/>
      </w:r>
      <w:bookmarkEnd w:id="8"/>
    </w:p>
    <w:p w14:paraId="3FAF3BFF">
      <w:pPr>
        <w:framePr w:w="9639" w:h="6974" w:hRule="exact" w:wrap="around" w:vAnchor="page" w:hAnchor="page" w:x="1419" w:y="6408" w:anchorLock="1"/>
        <w:ind w:left="-1418"/>
        <w:rPr>
          <w:rFonts w:ascii="Times New Roman" w:hAnsi="Times New Roman"/>
        </w:rPr>
      </w:pPr>
    </w:p>
    <w:p w14:paraId="409D8000">
      <w:pPr>
        <w:pStyle w:val="129"/>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fldChar w:fldCharType="separate"/>
      </w:r>
      <w:r>
        <w:rPr>
          <w:rFonts w:eastAsia="黑体"/>
          <w:szCs w:val="28"/>
        </w:rPr>
        <w:t>On-line analyzer for greenhouse gases based on Fourier infrared spectrum</w:t>
      </w:r>
      <w:r>
        <w:rPr>
          <w:rFonts w:eastAsia="黑体"/>
          <w:szCs w:val="28"/>
        </w:rPr>
        <w:fldChar w:fldCharType="end"/>
      </w:r>
      <w:bookmarkEnd w:id="9"/>
    </w:p>
    <w:p w14:paraId="75445C15">
      <w:pPr>
        <w:framePr w:w="9639" w:h="6974" w:hRule="exact" w:wrap="around" w:vAnchor="page" w:hAnchor="page" w:x="1419" w:y="6408" w:anchorLock="1"/>
        <w:spacing w:line="760" w:lineRule="exact"/>
        <w:ind w:left="-1418"/>
        <w:rPr>
          <w:rFonts w:ascii="Times New Roman" w:hAnsi="Times New Roman"/>
        </w:rPr>
      </w:pPr>
    </w:p>
    <w:p w14:paraId="5A8D9AE5">
      <w:pPr>
        <w:pStyle w:val="129"/>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10" w:name="IN_STD_CODE"/>
      <w:r>
        <w:rPr>
          <w:rFonts w:eastAsia="黑体"/>
          <w:szCs w:val="28"/>
        </w:rPr>
        <w:instrText xml:space="preserve"> FORMTEXT </w:instrText>
      </w:r>
      <w:r>
        <w:rPr>
          <w:rFonts w:eastAsia="黑体"/>
          <w:szCs w:val="28"/>
        </w:rPr>
        <w:fldChar w:fldCharType="separate"/>
      </w:r>
      <w:r>
        <w:rPr>
          <w:rFonts w:eastAsia="黑体"/>
          <w:szCs w:val="28"/>
        </w:rPr>
        <w:t>     </w:t>
      </w:r>
      <w:r>
        <w:rPr>
          <w:rFonts w:eastAsia="黑体"/>
          <w:szCs w:val="28"/>
        </w:rPr>
        <w:fldChar w:fldCharType="end"/>
      </w:r>
      <w:bookmarkEnd w:id="10"/>
    </w:p>
    <w:p w14:paraId="057C3A68">
      <w:pPr>
        <w:pStyle w:val="129"/>
        <w:framePr w:w="9639" w:h="6974" w:hRule="exact" w:wrap="around" w:vAnchor="page" w:hAnchor="page" w:x="1419" w:y="6408" w:anchorLock="1"/>
        <w:spacing w:before="440" w:after="160"/>
        <w:textAlignment w:val="bottom"/>
        <w:rPr>
          <w:sz w:val="24"/>
          <w:szCs w:val="28"/>
        </w:rPr>
      </w:pPr>
      <w:r>
        <w:rPr>
          <w:sz w:val="24"/>
          <w:szCs w:val="28"/>
        </w:rPr>
        <w:t>（征求意见稿）</w:t>
      </w:r>
    </w:p>
    <w:p w14:paraId="09D95AE3">
      <w:pPr>
        <w:pStyle w:val="12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7280654B">
      <w:pPr>
        <w:pStyle w:val="129"/>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42BADC3E">
      <w:pPr>
        <w:pStyle w:val="197"/>
        <w:framePr w:wrap="around" w:y="14176"/>
      </w:pPr>
      <w:r>
        <w:fldChar w:fldCharType="begin">
          <w:ffData>
            <w:name w:val="PLSH_DATE_Y"/>
            <w:enabled/>
            <w:calcOnExit w:val="0"/>
            <w:textInput>
              <w:default w:val="XXXX"/>
              <w:maxLength w:val="4"/>
            </w:textInput>
          </w:ffData>
        </w:fldChar>
      </w:r>
      <w:bookmarkStart w:id="13" w:name="PLSH_DATE_Y"/>
      <w:r>
        <w:instrText xml:space="preserve"> FORMTEXT </w:instrText>
      </w:r>
      <w:r>
        <w:fldChar w:fldCharType="separate"/>
      </w:r>
      <w:r>
        <w:t>XXXX</w:t>
      </w:r>
      <w:r>
        <w:fldChar w:fldCharType="end"/>
      </w:r>
      <w:bookmarkEnd w:id="13"/>
      <w:r>
        <w:t>-</w:t>
      </w:r>
      <w:r>
        <w:fldChar w:fldCharType="begin">
          <w:ffData>
            <w:name w:val="PLSH_DATE_M"/>
            <w:enabled/>
            <w:calcOnExit w:val="0"/>
            <w:textInput>
              <w:default w:val="XX"/>
              <w:maxLength w:val="2"/>
            </w:textInput>
          </w:ffData>
        </w:fldChar>
      </w:r>
      <w:bookmarkStart w:id="14" w:name="PLSH_DATE_M"/>
      <w:r>
        <w:instrText xml:space="preserve"> FORMTEXT </w:instrText>
      </w:r>
      <w:r>
        <w:fldChar w:fldCharType="separate"/>
      </w:r>
      <w:r>
        <w:t>XX</w:t>
      </w:r>
      <w:r>
        <w:fldChar w:fldCharType="end"/>
      </w:r>
      <w:bookmarkEnd w:id="14"/>
      <w:r>
        <w:t>-</w:t>
      </w:r>
      <w:r>
        <w:fldChar w:fldCharType="begin">
          <w:ffData>
            <w:name w:val="PLSH_DATE_D"/>
            <w:enabled/>
            <w:calcOnExit w:val="0"/>
            <w:textInput>
              <w:default w:val="XX"/>
              <w:maxLength w:val="2"/>
            </w:textInput>
          </w:ffData>
        </w:fldChar>
      </w:r>
      <w:bookmarkStart w:id="15" w:name="PLSH_DATE_D"/>
      <w:r>
        <w:instrText xml:space="preserve"> FORMTEXT </w:instrText>
      </w:r>
      <w:r>
        <w:fldChar w:fldCharType="separate"/>
      </w:r>
      <w:r>
        <w:t>XX</w:t>
      </w:r>
      <w:r>
        <w:fldChar w:fldCharType="end"/>
      </w:r>
      <w:bookmarkEnd w:id="15"/>
      <w:r>
        <w:t>发布</w:t>
      </w:r>
    </w:p>
    <w:p w14:paraId="15A002E1">
      <w:pPr>
        <w:pStyle w:val="198"/>
        <w:framePr w:wrap="around" w:y="14176"/>
      </w:pPr>
      <w:r>
        <w:fldChar w:fldCharType="begin">
          <w:ffData>
            <w:name w:val="CROT_DATE_Y"/>
            <w:enabled/>
            <w:calcOnExit w:val="0"/>
            <w:textInput>
              <w:default w:val="XXXX"/>
              <w:maxLength w:val="4"/>
            </w:textInput>
          </w:ffData>
        </w:fldChar>
      </w:r>
      <w:bookmarkStart w:id="16" w:name="CROT_DATE_Y"/>
      <w:r>
        <w:instrText xml:space="preserve"> FORMTEXT </w:instrText>
      </w:r>
      <w:r>
        <w:fldChar w:fldCharType="separate"/>
      </w:r>
      <w:r>
        <w:t>XXXX</w:t>
      </w:r>
      <w:r>
        <w:fldChar w:fldCharType="end"/>
      </w:r>
      <w:bookmarkEnd w:id="16"/>
      <w:r>
        <w:t>-</w:t>
      </w:r>
      <w:r>
        <w:fldChar w:fldCharType="begin">
          <w:ffData>
            <w:name w:val="CROT_DATE_M"/>
            <w:enabled/>
            <w:calcOnExit w:val="0"/>
            <w:textInput>
              <w:default w:val="XX"/>
              <w:maxLength w:val="2"/>
            </w:textInput>
          </w:ffData>
        </w:fldChar>
      </w:r>
      <w:bookmarkStart w:id="17" w:name="CROT_DATE_M"/>
      <w:r>
        <w:instrText xml:space="preserve"> FORMTEXT </w:instrText>
      </w:r>
      <w:r>
        <w:fldChar w:fldCharType="separate"/>
      </w:r>
      <w:r>
        <w:t>XX</w:t>
      </w:r>
      <w:r>
        <w:fldChar w:fldCharType="end"/>
      </w:r>
      <w:bookmarkEnd w:id="17"/>
      <w:r>
        <w:t>-</w:t>
      </w:r>
      <w:r>
        <w:fldChar w:fldCharType="begin">
          <w:ffData>
            <w:name w:val="CROT_DATE_D"/>
            <w:enabled/>
            <w:calcOnExit w:val="0"/>
            <w:textInput>
              <w:default w:val="XX"/>
              <w:maxLength w:val="2"/>
            </w:textInput>
          </w:ffData>
        </w:fldChar>
      </w:r>
      <w:bookmarkStart w:id="18" w:name="CROT_DATE_D"/>
      <w:r>
        <w:instrText xml:space="preserve"> FORMTEXT </w:instrText>
      </w:r>
      <w:r>
        <w:fldChar w:fldCharType="separate"/>
      </w:r>
      <w:r>
        <w:t>XX</w:t>
      </w:r>
      <w:r>
        <w:fldChar w:fldCharType="end"/>
      </w:r>
      <w:bookmarkEnd w:id="18"/>
      <w:r>
        <w:t>实施</w:t>
      </w:r>
    </w:p>
    <w:p w14:paraId="369B28BD">
      <w:pPr>
        <w:pStyle w:val="155"/>
        <w:framePr w:h="584" w:hRule="exact" w:hSpace="181" w:vSpace="181" w:wrap="around" w:y="14800"/>
        <w:rPr>
          <w:rFonts w:ascii="Times New Roman"/>
        </w:rPr>
      </w:pPr>
      <w:r>
        <w:rPr>
          <w:rFonts w:ascii="Times New Roman"/>
          <w:w w:val="100"/>
          <w:sz w:val="28"/>
        </w:rPr>
        <w:fldChar w:fldCharType="begin">
          <w:ffData>
            <w:name w:val="fm"/>
            <w:enabled/>
            <w:calcOnExit w:val="0"/>
            <w:textInput/>
          </w:ffData>
        </w:fldChar>
      </w:r>
      <w:bookmarkStart w:id="19" w:name="fm"/>
      <w:r>
        <w:rPr>
          <w:rFonts w:ascii="Times New Roman"/>
          <w:w w:val="100"/>
          <w:sz w:val="28"/>
        </w:rPr>
        <w:instrText xml:space="preserve"> FORMTEXT </w:instrText>
      </w:r>
      <w:r>
        <w:rPr>
          <w:rFonts w:ascii="Times New Roman"/>
          <w:w w:val="100"/>
          <w:sz w:val="28"/>
        </w:rPr>
        <w:fldChar w:fldCharType="separate"/>
      </w:r>
      <w:r>
        <w:rPr>
          <w:rFonts w:ascii="Times New Roman"/>
          <w:w w:val="100"/>
          <w:sz w:val="28"/>
        </w:rPr>
        <w:t>中华人民共和国工业和信息化部</w:t>
      </w:r>
      <w:r>
        <w:rPr>
          <w:rFonts w:ascii="Times New Roman"/>
          <w:w w:val="100"/>
          <w:sz w:val="28"/>
        </w:rPr>
        <w:fldChar w:fldCharType="end"/>
      </w:r>
      <w:bookmarkEnd w:id="19"/>
      <w:r>
        <w:rPr>
          <w:rFonts w:ascii="Times New Roman"/>
          <w:w w:val="100"/>
          <w:sz w:val="28"/>
          <w:szCs w:val="28"/>
        </w:rPr>
        <w:t>  </w:t>
      </w:r>
      <w:r>
        <w:rPr>
          <w:rStyle w:val="233"/>
          <w:rFonts w:ascii="Times New Roman"/>
          <w:position w:val="0"/>
        </w:rPr>
        <w:t>发</w:t>
      </w:r>
      <w:r>
        <w:rPr>
          <w:rStyle w:val="233"/>
          <w:rFonts w:ascii="Times New Roman"/>
          <w:spacing w:val="0"/>
          <w:position w:val="0"/>
        </w:rPr>
        <w:t>布</w:t>
      </w:r>
    </w:p>
    <w:p w14:paraId="69AF51C3">
      <w:pPr>
        <w:ind w:firstLine="560"/>
        <w:rPr>
          <w:rFonts w:ascii="Times New Roman" w:hAnsi="Times New Roman"/>
          <w:sz w:val="28"/>
          <w:szCs w:val="28"/>
        </w:rPr>
        <w:sectPr>
          <w:headerReference r:id="rId7" w:type="first"/>
          <w:footerReference r:id="rId9" w:type="first"/>
          <w:headerReference r:id="rId5" w:type="default"/>
          <w:headerReference r:id="rId6" w:type="even"/>
          <w:footerReference r:id="rId8" w:type="even"/>
          <w:type w:val="continuous"/>
          <w:pgSz w:w="11906" w:h="16838"/>
          <w:pgMar w:top="567" w:right="1134" w:bottom="1021" w:left="1134" w:header="1418" w:footer="1134" w:gutter="284"/>
          <w:cols w:space="425" w:num="1"/>
          <w:titlePg/>
          <w:docGrid w:linePitch="312" w:charSpace="0"/>
        </w:sectPr>
      </w:pPr>
      <w:r>
        <w:rPr>
          <w:rFonts w:ascii="Times New Roman" w:hAnsi="Times New Roman"/>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0" b="0"/>
                <wp:wrapNone/>
                <wp:docPr id="1034958192"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1"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Ckk7MP6gEAALMDAAAOAAAAZHJzL2Uyb0RvYy54bWytUztu&#10;GzEQ7QPkDgT7aCU5MqyFVi4kOI2TCLBzAIrL1RIhOQSH0kqXyAUCpEuqlOl9mzjHyJD6+JPGRbYg&#10;OL/HeW9mJ5dba9hGBdTgKj7o9TlTTkKt3arin26v3lxwhlG4WhhwquI7hfxy+vrVpPOlGkILplaB&#10;EYjDsvMVb2P0ZVGgbJUV2AOvHAUbCFZEMsOqqIPoCN2aYtjvnxcdhNoHkAqRvPN9kB8Qw0sAoWm0&#10;VHOQa6tc3KMGZUQkSthqj3yau20aJePHpkEVmak4MY35pEfovkxnMZ2IchWEb7U8tCBe0sIzTlZo&#10;R4+eoOYiCrYO+h8oq2UAhCb2JNhiTyQrQiwG/Wfa3LTCq8yFpEZ/Eh3/H6z8sFkEpmvahP7Z2/Ho&#10;YjAecuaEpcnff/31+8v3P3ff6Lz/+YMNklqdx5KKZm4REl+5dTf+GuRnZA5mrXArlbu+3XlCyBXF&#10;k5JkoKc3l917qClHrCNk6bZNsAmSRGHbPKHdaUJqG5kk5/mAZDqj4cljrBDlsdAHjO8UWJYuFTfa&#10;JfFEKTbXGKl1Sj2mJLeDK21MXgDjWFfx8Wg4ygUIRtcpmNIwrJYzE9hGpBXKX9KBwJ6kBVi7eu83&#10;jsJHnnvFllDvFiGFk59mmQEOe5eW5bGdsx7+tel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anR&#10;i9cAAAAOAQAADwAAAAAAAAABACAAAAAiAAAAZHJzL2Rvd25yZXYueG1sUEsBAhQAFAAAAAgAh07i&#10;QKSTsw/qAQAAswMAAA4AAAAAAAAAAQAgAAAAJgEAAGRycy9lMm9Eb2MueG1sUEsFBgAAAAAGAAYA&#10;WQEAAIIFAAAAAA==&#10;">
                <v:fill on="f" focussize="0,0"/>
                <v:stroke color="#000000" joinstyle="round"/>
                <v:imagedata o:title=""/>
                <o:lock v:ext="edit" aspectratio="f"/>
                <w10:anchorlock/>
              </v:line>
            </w:pict>
          </mc:Fallback>
        </mc:AlternateContent>
      </w:r>
    </w:p>
    <w:p w14:paraId="5614D0EB">
      <w:pPr>
        <w:pStyle w:val="93"/>
        <w:spacing w:after="360" w:line="312" w:lineRule="auto"/>
        <w:rPr>
          <w:rFonts w:ascii="Times New Roman" w:eastAsia="宋体"/>
        </w:rPr>
      </w:pPr>
      <w:bookmarkStart w:id="20" w:name="BookMark2"/>
      <w:r>
        <w:rPr>
          <w:rFonts w:ascii="Times New Roman" w:eastAsia="宋体"/>
          <w:spacing w:val="320"/>
        </w:rPr>
        <w:t>前</w:t>
      </w:r>
      <w:r>
        <w:rPr>
          <w:rFonts w:ascii="Times New Roman" w:eastAsia="宋体"/>
        </w:rPr>
        <w:t>言</w:t>
      </w:r>
    </w:p>
    <w:p w14:paraId="779FA734">
      <w:pPr>
        <w:pStyle w:val="60"/>
        <w:spacing w:line="312" w:lineRule="auto"/>
        <w:ind w:firstLine="420"/>
        <w:rPr>
          <w:rFonts w:ascii="Times New Roman"/>
        </w:rPr>
      </w:pPr>
      <w:r>
        <w:rPr>
          <w:rFonts w:ascii="Times New Roman"/>
        </w:rPr>
        <w:t>本文件按照GB/T 1.1—2020《标准化工作导则  第1部分：标准化文件的结构和起草规则》的规定起草。</w:t>
      </w:r>
    </w:p>
    <w:p w14:paraId="42DE5BF1">
      <w:pPr>
        <w:pStyle w:val="234"/>
        <w:spacing w:line="312" w:lineRule="auto"/>
        <w:rPr>
          <w:rFonts w:ascii="Times New Roman"/>
        </w:rPr>
      </w:pPr>
      <w:r>
        <w:rPr>
          <w:rFonts w:ascii="Times New Roman"/>
        </w:rPr>
        <w:t>请注意本文件的某些内容可能涉及专利。本文件的发布机构不承担识别专利的责任。</w:t>
      </w:r>
    </w:p>
    <w:p w14:paraId="677A15AC">
      <w:pPr>
        <w:pStyle w:val="234"/>
        <w:spacing w:line="312" w:lineRule="auto"/>
        <w:rPr>
          <w:rFonts w:ascii="Times New Roman"/>
        </w:rPr>
      </w:pPr>
      <w:r>
        <w:rPr>
          <w:rFonts w:ascii="Times New Roman"/>
        </w:rPr>
        <w:t>本标准由中国机械工业联合会提出。</w:t>
      </w:r>
    </w:p>
    <w:p w14:paraId="519E619E">
      <w:pPr>
        <w:pStyle w:val="234"/>
        <w:spacing w:line="312" w:lineRule="auto"/>
        <w:rPr>
          <w:rFonts w:ascii="Times New Roman"/>
        </w:rPr>
      </w:pPr>
      <w:r>
        <w:rPr>
          <w:rFonts w:ascii="Times New Roman"/>
        </w:rPr>
        <w:t>本标准由全国工业过程测量控制和自动化标准化技术委员会（SAC/TC124）归口。</w:t>
      </w:r>
    </w:p>
    <w:p w14:paraId="4413C716">
      <w:pPr>
        <w:pStyle w:val="234"/>
        <w:spacing w:line="312" w:lineRule="auto"/>
        <w:rPr>
          <w:rFonts w:ascii="Times New Roman"/>
        </w:rPr>
      </w:pPr>
      <w:r>
        <w:rPr>
          <w:rFonts w:ascii="Times New Roman"/>
        </w:rPr>
        <w:t>本标准起草单位：</w:t>
      </w:r>
    </w:p>
    <w:p w14:paraId="45C964EB">
      <w:pPr>
        <w:pStyle w:val="234"/>
        <w:spacing w:line="312" w:lineRule="auto"/>
        <w:rPr>
          <w:rFonts w:ascii="Times New Roman"/>
        </w:rPr>
      </w:pPr>
      <w:r>
        <w:rPr>
          <w:rFonts w:ascii="Times New Roman"/>
        </w:rPr>
        <w:t>本标准主要起草人：</w:t>
      </w:r>
    </w:p>
    <w:p w14:paraId="5A31619D">
      <w:pPr>
        <w:pStyle w:val="60"/>
        <w:spacing w:line="312" w:lineRule="auto"/>
        <w:ind w:firstLine="420"/>
        <w:rPr>
          <w:rFonts w:ascii="Times New Roman"/>
        </w:rPr>
      </w:pPr>
    </w:p>
    <w:p w14:paraId="47D2A54C">
      <w:pPr>
        <w:pStyle w:val="60"/>
        <w:spacing w:line="312" w:lineRule="auto"/>
        <w:ind w:firstLine="199" w:firstLineChars="95"/>
        <w:rPr>
          <w:rFonts w:ascii="Times New Roman"/>
        </w:rPr>
        <w:sectPr>
          <w:headerReference r:id="rId10" w:type="default"/>
          <w:footerReference r:id="rId12" w:type="default"/>
          <w:headerReference r:id="rId11" w:type="even"/>
          <w:pgSz w:w="11906" w:h="16838"/>
          <w:pgMar w:top="1928" w:right="1134" w:bottom="1134" w:left="1134" w:header="1418" w:footer="1134" w:gutter="284"/>
          <w:pgNumType w:fmt="upperRoman" w:start="1"/>
          <w:cols w:space="425" w:num="1"/>
          <w:formProt w:val="0"/>
          <w:docGrid w:linePitch="312" w:charSpace="0"/>
        </w:sectPr>
      </w:pPr>
    </w:p>
    <w:bookmarkEnd w:id="20"/>
    <w:p w14:paraId="026C0786">
      <w:pPr>
        <w:spacing w:line="312" w:lineRule="auto"/>
        <w:ind w:firstLine="640"/>
        <w:rPr>
          <w:rFonts w:ascii="Times New Roman" w:hAnsi="Times New Roman"/>
          <w:sz w:val="32"/>
          <w:szCs w:val="32"/>
        </w:rPr>
      </w:pPr>
      <w:bookmarkStart w:id="21" w:name="BookMark4"/>
    </w:p>
    <w:sdt>
      <w:sdtPr>
        <w:rPr>
          <w:rFonts w:ascii="Times New Roman" w:hAnsi="Times New Roman" w:eastAsia="宋体"/>
        </w:rPr>
        <w:tag w:val="NEW_STAND_NAME"/>
        <w:id w:val="595910757"/>
        <w:lock w:val="sdtLocked"/>
        <w:placeholder>
          <w:docPart w:val="8304FAA722D9420494B6CA814AFA1336"/>
        </w:placeholder>
      </w:sdtPr>
      <w:sdtEndPr>
        <w:rPr>
          <w:rFonts w:ascii="Times New Roman" w:hAnsi="Times New Roman" w:eastAsia="宋体"/>
        </w:rPr>
      </w:sdtEndPr>
      <w:sdtContent>
        <w:p w14:paraId="05695BED">
          <w:pPr>
            <w:pStyle w:val="181"/>
            <w:spacing w:before="240" w:beforeLines="100" w:after="528" w:afterLines="220" w:line="312" w:lineRule="auto"/>
            <w:rPr>
              <w:rFonts w:ascii="Times New Roman" w:hAnsi="Times New Roman" w:eastAsia="宋体"/>
            </w:rPr>
          </w:pPr>
          <w:bookmarkStart w:id="22" w:name="NEW_STAND_NAME"/>
          <w:r>
            <w:rPr>
              <w:rFonts w:ascii="Times New Roman" w:hAnsi="Times New Roman" w:eastAsia="宋体"/>
            </w:rPr>
            <w:t>基于傅立叶红外法的温室气体在线监测仪</w:t>
          </w:r>
        </w:p>
      </w:sdtContent>
    </w:sdt>
    <w:bookmarkEnd w:id="22"/>
    <w:p w14:paraId="35F84813">
      <w:pPr>
        <w:pStyle w:val="108"/>
        <w:spacing w:before="240" w:after="240" w:line="312" w:lineRule="auto"/>
        <w:rPr>
          <w:rFonts w:ascii="Times New Roman" w:eastAsia="宋体"/>
        </w:rPr>
      </w:pPr>
      <w:bookmarkStart w:id="23" w:name="_Toc26986771"/>
      <w:bookmarkStart w:id="24" w:name="_Toc24884218"/>
      <w:bookmarkStart w:id="25" w:name="_Toc17233325"/>
      <w:bookmarkStart w:id="26" w:name="_Toc26648465"/>
      <w:bookmarkStart w:id="27" w:name="_Toc24884211"/>
      <w:bookmarkStart w:id="28" w:name="_Toc17233333"/>
      <w:bookmarkStart w:id="29" w:name="_Toc26718930"/>
      <w:bookmarkStart w:id="30" w:name="_Toc26986530"/>
      <w:bookmarkStart w:id="31" w:name="_Toc97195091"/>
      <w:r>
        <w:rPr>
          <w:rFonts w:ascii="Times New Roman" w:eastAsia="宋体"/>
        </w:rPr>
        <w:t>范围</w:t>
      </w:r>
      <w:bookmarkEnd w:id="23"/>
      <w:bookmarkEnd w:id="24"/>
      <w:bookmarkEnd w:id="25"/>
      <w:bookmarkEnd w:id="26"/>
      <w:bookmarkEnd w:id="27"/>
      <w:bookmarkEnd w:id="28"/>
      <w:bookmarkEnd w:id="29"/>
      <w:bookmarkEnd w:id="30"/>
      <w:bookmarkEnd w:id="31"/>
    </w:p>
    <w:p w14:paraId="10F1DB7C">
      <w:pPr>
        <w:pStyle w:val="60"/>
        <w:spacing w:line="312" w:lineRule="auto"/>
        <w:ind w:firstLine="420"/>
        <w:rPr>
          <w:rFonts w:ascii="Times New Roman"/>
        </w:rPr>
      </w:pPr>
      <w:bookmarkStart w:id="32" w:name="_Toc24884212"/>
      <w:bookmarkStart w:id="33" w:name="_Toc17233334"/>
      <w:bookmarkStart w:id="34" w:name="_Toc26648466"/>
      <w:bookmarkStart w:id="35" w:name="_Toc24884219"/>
      <w:bookmarkStart w:id="36" w:name="_Toc17233326"/>
      <w:r>
        <w:rPr>
          <w:rFonts w:ascii="Times New Roman"/>
        </w:rPr>
        <w:t>本文件规定了基于傅立叶红外法的温室气体在线监测仪的要求、试验方法、检验规则和标志、包装、运输和贮存。</w:t>
      </w:r>
    </w:p>
    <w:p w14:paraId="297DDF64">
      <w:pPr>
        <w:pStyle w:val="60"/>
        <w:spacing w:line="312" w:lineRule="auto"/>
        <w:ind w:firstLine="420"/>
        <w:rPr>
          <w:rFonts w:ascii="Times New Roman"/>
        </w:rPr>
      </w:pPr>
      <w:r>
        <w:rPr>
          <w:rFonts w:ascii="Times New Roman"/>
        </w:rPr>
        <w:t>本文件适用于基于傅立叶红外法的温室气体在线监测仪（以下简称为“仪器”）。</w:t>
      </w:r>
    </w:p>
    <w:p w14:paraId="5CEFD3C5">
      <w:pPr>
        <w:pStyle w:val="108"/>
        <w:spacing w:before="240" w:after="240" w:line="312" w:lineRule="auto"/>
        <w:rPr>
          <w:rFonts w:ascii="Times New Roman" w:eastAsia="宋体"/>
        </w:rPr>
      </w:pPr>
      <w:bookmarkStart w:id="37" w:name="_Toc26986531"/>
      <w:bookmarkStart w:id="38" w:name="_Toc26718931"/>
      <w:bookmarkStart w:id="39" w:name="_Toc97195092"/>
      <w:bookmarkStart w:id="40" w:name="_Toc26986772"/>
      <w:r>
        <w:rPr>
          <w:rFonts w:ascii="Times New Roman" w:eastAsia="宋体"/>
        </w:rPr>
        <w:t>规范性引用文件</w:t>
      </w:r>
      <w:bookmarkEnd w:id="32"/>
      <w:bookmarkEnd w:id="33"/>
      <w:bookmarkEnd w:id="34"/>
      <w:bookmarkEnd w:id="35"/>
      <w:bookmarkEnd w:id="36"/>
      <w:bookmarkEnd w:id="37"/>
      <w:bookmarkEnd w:id="38"/>
      <w:bookmarkEnd w:id="39"/>
      <w:bookmarkEnd w:id="40"/>
    </w:p>
    <w:sdt>
      <w:sdtPr>
        <w:rPr>
          <w:rFonts w:ascii="Times New Roman"/>
        </w:rPr>
        <w:id w:val="715848253"/>
        <w:placeholder>
          <w:docPart w:val="1B619B99B24B469BBD7DBF1C77B62D0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ascii="Times New Roman"/>
        </w:rPr>
      </w:sdtEndPr>
      <w:sdtContent>
        <w:p w14:paraId="779C219A">
          <w:pPr>
            <w:pStyle w:val="60"/>
            <w:spacing w:line="312" w:lineRule="auto"/>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BC20682">
      <w:pPr>
        <w:pStyle w:val="234"/>
        <w:spacing w:line="312" w:lineRule="auto"/>
        <w:rPr>
          <w:rFonts w:ascii="Times New Roman"/>
        </w:rPr>
      </w:pPr>
      <w:r>
        <w:rPr>
          <w:rFonts w:ascii="Times New Roman"/>
        </w:rPr>
        <w:t>GB/T 191 — 2008 包装储运图示标志</w:t>
      </w:r>
    </w:p>
    <w:p w14:paraId="1D8082EB">
      <w:pPr>
        <w:pStyle w:val="234"/>
        <w:spacing w:line="312" w:lineRule="auto"/>
        <w:rPr>
          <w:rFonts w:ascii="Times New Roman"/>
        </w:rPr>
      </w:pPr>
      <w:r>
        <w:rPr>
          <w:rFonts w:ascii="Times New Roman"/>
        </w:rPr>
        <w:t>GB/T 2829 — 2002 周期检验计数抽样程序及表</w:t>
      </w:r>
    </w:p>
    <w:p w14:paraId="2AA01291">
      <w:pPr>
        <w:pStyle w:val="234"/>
        <w:spacing w:line="312" w:lineRule="auto"/>
        <w:rPr>
          <w:rFonts w:ascii="Times New Roman"/>
        </w:rPr>
      </w:pPr>
      <w:r>
        <w:rPr>
          <w:rFonts w:ascii="Times New Roman"/>
        </w:rPr>
        <w:t>GB 4793.1—2007 测量、控制和实验室用电气设备的安全要求</w:t>
      </w:r>
    </w:p>
    <w:p w14:paraId="662B351B">
      <w:pPr>
        <w:pStyle w:val="234"/>
        <w:spacing w:line="312" w:lineRule="auto"/>
        <w:rPr>
          <w:rFonts w:ascii="Times New Roman"/>
        </w:rPr>
      </w:pPr>
      <w:r>
        <w:rPr>
          <w:rFonts w:ascii="Times New Roman"/>
        </w:rPr>
        <w:t>GB/T 11606 — 2007 分析仪器环境试验方法</w:t>
      </w:r>
    </w:p>
    <w:p w14:paraId="22A12E71">
      <w:pPr>
        <w:pStyle w:val="234"/>
        <w:spacing w:line="312" w:lineRule="auto"/>
        <w:rPr>
          <w:rFonts w:ascii="Times New Roman"/>
        </w:rPr>
      </w:pPr>
      <w:r>
        <w:rPr>
          <w:rFonts w:ascii="Times New Roman"/>
        </w:rPr>
        <w:t>GB/T 13384 — 2008 机电产品包装通用技术条件</w:t>
      </w:r>
    </w:p>
    <w:p w14:paraId="1B7CC442">
      <w:pPr>
        <w:pStyle w:val="234"/>
        <w:spacing w:line="312" w:lineRule="auto"/>
        <w:rPr>
          <w:rFonts w:ascii="Times New Roman"/>
        </w:rPr>
      </w:pPr>
      <w:r>
        <w:rPr>
          <w:rFonts w:hint="eastAsia" w:ascii="Times New Roman"/>
        </w:rPr>
        <w:t>GB/T 17626.2</w:t>
      </w:r>
      <w:r>
        <w:rPr>
          <w:rFonts w:ascii="Times New Roman"/>
        </w:rPr>
        <w:t>—</w:t>
      </w:r>
      <w:r>
        <w:rPr>
          <w:rFonts w:hint="eastAsia" w:ascii="Times New Roman"/>
        </w:rPr>
        <w:t>2018 电磁兼容 试验和测量技术 静电放电抗扰度试验</w:t>
      </w:r>
    </w:p>
    <w:p w14:paraId="3E3E0695">
      <w:pPr>
        <w:pStyle w:val="234"/>
        <w:spacing w:line="312" w:lineRule="auto"/>
        <w:rPr>
          <w:rFonts w:ascii="Times New Roman"/>
        </w:rPr>
      </w:pPr>
      <w:r>
        <w:rPr>
          <w:rFonts w:hint="eastAsia" w:ascii="Times New Roman"/>
        </w:rPr>
        <w:t>GB/T 17626.4</w:t>
      </w:r>
      <w:r>
        <w:rPr>
          <w:rFonts w:ascii="Times New Roman"/>
        </w:rPr>
        <w:t>—</w:t>
      </w:r>
      <w:r>
        <w:rPr>
          <w:rFonts w:hint="eastAsia" w:ascii="Times New Roman"/>
        </w:rPr>
        <w:t>2018 电磁兼容 试验和测量技术 电快速瞬变脉冲群抗扰度试验</w:t>
      </w:r>
    </w:p>
    <w:p w14:paraId="6C8F658E">
      <w:pPr>
        <w:pStyle w:val="234"/>
        <w:spacing w:line="312" w:lineRule="auto"/>
        <w:rPr>
          <w:rFonts w:ascii="Times New Roman"/>
        </w:rPr>
      </w:pPr>
      <w:r>
        <w:rPr>
          <w:rFonts w:hint="eastAsia" w:ascii="Times New Roman"/>
        </w:rPr>
        <w:t>GB/T 17626.5</w:t>
      </w:r>
      <w:r>
        <w:rPr>
          <w:rFonts w:ascii="Times New Roman"/>
        </w:rPr>
        <w:t>—</w:t>
      </w:r>
      <w:r>
        <w:rPr>
          <w:rFonts w:hint="eastAsia" w:ascii="Times New Roman"/>
        </w:rPr>
        <w:t>2019 电磁兼容 试验和测量技术 浪涌(冲击)抗扰度试验</w:t>
      </w:r>
    </w:p>
    <w:p w14:paraId="5F6EE1F8">
      <w:pPr>
        <w:pStyle w:val="234"/>
        <w:spacing w:line="312" w:lineRule="auto"/>
        <w:rPr>
          <w:rFonts w:hint="eastAsia" w:ascii="Times New Roman"/>
        </w:rPr>
      </w:pPr>
      <w:r>
        <w:rPr>
          <w:rFonts w:hint="eastAsia" w:ascii="Times New Roman"/>
        </w:rPr>
        <w:t>GB/T 18268.1</w:t>
      </w:r>
      <w:r>
        <w:rPr>
          <w:rFonts w:ascii="Times New Roman"/>
        </w:rPr>
        <w:t>—</w:t>
      </w:r>
      <w:r>
        <w:rPr>
          <w:rFonts w:hint="eastAsia" w:ascii="Times New Roman"/>
        </w:rPr>
        <w:t>2010 测量、控制和实验室用的电设备 电磁兼容性要求 第1部分：通用要求</w:t>
      </w:r>
    </w:p>
    <w:p w14:paraId="2D557D94">
      <w:pPr>
        <w:pStyle w:val="234"/>
        <w:spacing w:line="312" w:lineRule="auto"/>
        <w:rPr>
          <w:rFonts w:ascii="Times New Roman"/>
        </w:rPr>
      </w:pPr>
      <w:r>
        <w:rPr>
          <w:rFonts w:ascii="Times New Roman"/>
        </w:rPr>
        <w:t>GB/T 34065 — 2017 分析仪器的安全要求</w:t>
      </w:r>
    </w:p>
    <w:p w14:paraId="635741EE">
      <w:pPr>
        <w:pStyle w:val="108"/>
        <w:spacing w:before="240" w:after="240" w:line="312" w:lineRule="auto"/>
        <w:rPr>
          <w:rFonts w:ascii="Times New Roman" w:eastAsia="宋体"/>
        </w:rPr>
      </w:pPr>
      <w:bookmarkStart w:id="41" w:name="_Toc97195093"/>
      <w:r>
        <w:rPr>
          <w:rFonts w:ascii="Times New Roman" w:eastAsia="宋体"/>
          <w:szCs w:val="21"/>
        </w:rPr>
        <w:t>术语和定义</w:t>
      </w:r>
      <w:bookmarkEnd w:id="41"/>
    </w:p>
    <w:sdt>
      <w:sdtPr>
        <w:rPr>
          <w:rFonts w:ascii="Times New Roman"/>
        </w:rPr>
        <w:id w:val="-1909835108"/>
        <w:placeholder>
          <w:docPart w:val="DFCE370B2E794AF19D6CE1F86204621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rPr>
      </w:sdtEndPr>
      <w:sdtContent>
        <w:p w14:paraId="25892499">
          <w:pPr>
            <w:pStyle w:val="60"/>
            <w:spacing w:line="312" w:lineRule="auto"/>
            <w:ind w:firstLine="420"/>
            <w:rPr>
              <w:rFonts w:ascii="Times New Roman"/>
            </w:rPr>
          </w:pPr>
          <w:bookmarkStart w:id="42" w:name="_Toc26986532"/>
          <w:bookmarkEnd w:id="42"/>
          <w:r>
            <w:rPr>
              <w:rFonts w:ascii="Times New Roman"/>
            </w:rPr>
            <w:t>下列术语和定义适用于本文件。</w:t>
          </w:r>
        </w:p>
      </w:sdtContent>
    </w:sdt>
    <w:p w14:paraId="194DD2F5">
      <w:pPr>
        <w:pStyle w:val="109"/>
        <w:ind w:firstLine="0" w:firstLineChars="0"/>
        <w:rPr>
          <w:rFonts w:hint="eastAsia" w:ascii="黑体" w:hAnsi="黑体" w:eastAsia="黑体" w:cs="黑体"/>
        </w:rPr>
      </w:pPr>
      <w:r>
        <w:rPr>
          <w:rFonts w:hint="eastAsia" w:ascii="黑体" w:hAnsi="黑体" w:eastAsia="黑体" w:cs="黑体"/>
        </w:rPr>
        <w:t>3.1</w:t>
      </w:r>
    </w:p>
    <w:p w14:paraId="59A2BE85">
      <w:pPr>
        <w:pStyle w:val="109"/>
        <w:rPr>
          <w:rFonts w:ascii="Times New Roman" w:hAnsi="Times New Roman"/>
        </w:rPr>
      </w:pPr>
      <w:r>
        <w:rPr>
          <w:rFonts w:ascii="Times New Roman" w:hAnsi="Times New Roman"/>
        </w:rPr>
        <w:t>温室气体greenhouse gas</w:t>
      </w:r>
    </w:p>
    <w:p w14:paraId="5373D306">
      <w:pPr>
        <w:pStyle w:val="234"/>
        <w:spacing w:line="312" w:lineRule="auto"/>
        <w:rPr>
          <w:rFonts w:ascii="Times New Roman"/>
        </w:rPr>
      </w:pPr>
      <w:r>
        <w:rPr>
          <w:rFonts w:ascii="Times New Roman"/>
        </w:rPr>
        <w:t>大气层中自然存在的和由于人类活动产生的能够吸收和散发由地球表面、大气层和云层所产生的、波长在红外光谱内的辐射的气态成分。本文件涉及的温室气体包含二氧化碳（CO</w:t>
      </w:r>
      <w:r>
        <w:rPr>
          <w:rFonts w:ascii="Times New Roman"/>
          <w:vertAlign w:val="subscript"/>
        </w:rPr>
        <w:t>2</w:t>
      </w:r>
      <w:r>
        <w:rPr>
          <w:rFonts w:ascii="Times New Roman"/>
        </w:rPr>
        <w:t>）、甲烷（CH</w:t>
      </w:r>
      <w:r>
        <w:rPr>
          <w:rFonts w:ascii="Times New Roman"/>
          <w:vertAlign w:val="subscript"/>
        </w:rPr>
        <w:t>4</w:t>
      </w:r>
      <w:r>
        <w:rPr>
          <w:rFonts w:ascii="Times New Roman"/>
        </w:rPr>
        <w:t>）、氧化亚氮（N</w:t>
      </w:r>
      <w:r>
        <w:rPr>
          <w:rFonts w:ascii="Times New Roman"/>
          <w:vertAlign w:val="subscript"/>
        </w:rPr>
        <w:t>2</w:t>
      </w:r>
      <w:r>
        <w:rPr>
          <w:rFonts w:ascii="Times New Roman"/>
        </w:rPr>
        <w:t>O）、六氟化硫（SF</w:t>
      </w:r>
      <w:r>
        <w:rPr>
          <w:rFonts w:ascii="Times New Roman"/>
          <w:vertAlign w:val="subscript"/>
        </w:rPr>
        <w:t>6</w:t>
      </w:r>
      <w:r>
        <w:rPr>
          <w:rFonts w:ascii="Times New Roman"/>
        </w:rPr>
        <w:t>）和三氟化氮（NF</w:t>
      </w:r>
      <w:r>
        <w:rPr>
          <w:rFonts w:ascii="Times New Roman"/>
          <w:vertAlign w:val="subscript"/>
        </w:rPr>
        <w:t>3</w:t>
      </w:r>
      <w:r>
        <w:rPr>
          <w:rFonts w:ascii="Times New Roman"/>
        </w:rPr>
        <w:t>）。</w:t>
      </w:r>
    </w:p>
    <w:p w14:paraId="1D737DCD">
      <w:pPr>
        <w:pStyle w:val="109"/>
        <w:ind w:firstLine="0" w:firstLineChars="0"/>
        <w:rPr>
          <w:rFonts w:hint="eastAsia" w:ascii="黑体" w:hAnsi="黑体" w:eastAsia="黑体" w:cs="黑体"/>
        </w:rPr>
      </w:pPr>
      <w:r>
        <w:rPr>
          <w:rFonts w:hint="eastAsia" w:ascii="黑体" w:hAnsi="黑体" w:eastAsia="黑体" w:cs="黑体"/>
        </w:rPr>
        <w:t>3.2</w:t>
      </w:r>
    </w:p>
    <w:p w14:paraId="72ADD52C">
      <w:pPr>
        <w:pStyle w:val="109"/>
        <w:rPr>
          <w:rFonts w:ascii="Times New Roman" w:hAnsi="Times New Roman"/>
        </w:rPr>
      </w:pPr>
      <w:r>
        <w:rPr>
          <w:rFonts w:ascii="Times New Roman" w:hAnsi="Times New Roman"/>
        </w:rPr>
        <w:t>基于傅立叶红外法的温室气体在线监测仪On-line analyzer for greenhouse gases based on Fourier infrared spectrum</w:t>
      </w:r>
    </w:p>
    <w:p w14:paraId="11D7DF90">
      <w:pPr>
        <w:pStyle w:val="234"/>
        <w:spacing w:line="312" w:lineRule="auto"/>
        <w:rPr>
          <w:rFonts w:ascii="Times New Roman"/>
        </w:rPr>
      </w:pPr>
      <w:r>
        <w:rPr>
          <w:rFonts w:ascii="Times New Roman"/>
        </w:rPr>
        <w:t>基于傅立叶红外分析原理，能够进行温室气体浓度监测的在线分析仪。主要由光源、干涉仪、密闭气室、检测器、数据处理单元组成。</w:t>
      </w:r>
    </w:p>
    <w:p w14:paraId="54210CD3">
      <w:pPr>
        <w:pStyle w:val="108"/>
        <w:spacing w:before="240" w:after="240" w:line="312" w:lineRule="auto"/>
        <w:rPr>
          <w:rFonts w:ascii="Times New Roman" w:eastAsia="宋体"/>
        </w:rPr>
      </w:pPr>
      <w:r>
        <w:rPr>
          <w:rFonts w:ascii="Times New Roman" w:eastAsia="宋体"/>
        </w:rPr>
        <w:t>要求</w:t>
      </w:r>
    </w:p>
    <w:p w14:paraId="12F5DE16">
      <w:pPr>
        <w:pStyle w:val="109"/>
        <w:ind w:firstLine="0" w:firstLineChars="0"/>
        <w:rPr>
          <w:rFonts w:ascii="Times New Roman" w:hAnsi="Times New Roman"/>
        </w:rPr>
      </w:pPr>
      <w:r>
        <w:rPr>
          <w:rFonts w:hint="eastAsia" w:ascii="黑体" w:hAnsi="黑体" w:eastAsia="黑体" w:cs="黑体"/>
        </w:rPr>
        <w:t>4.1</w:t>
      </w:r>
      <w:r>
        <w:rPr>
          <w:rFonts w:ascii="Times New Roman" w:hAnsi="Times New Roman"/>
        </w:rPr>
        <w:t>仪器工作条件</w:t>
      </w:r>
    </w:p>
    <w:p w14:paraId="7D55A6E3">
      <w:pPr>
        <w:pStyle w:val="234"/>
        <w:spacing w:line="312" w:lineRule="auto"/>
        <w:rPr>
          <w:rFonts w:ascii="Times New Roman"/>
        </w:rPr>
      </w:pPr>
      <w:r>
        <w:rPr>
          <w:rFonts w:ascii="Times New Roman"/>
        </w:rPr>
        <w:t>仪器应在下列条件下正常工作：</w:t>
      </w:r>
    </w:p>
    <w:p w14:paraId="59F05BCF">
      <w:pPr>
        <w:pStyle w:val="240"/>
      </w:pPr>
      <w:r>
        <w:t>环境温度：5 ℃~40 ℃</w:t>
      </w:r>
    </w:p>
    <w:p w14:paraId="74FEEC16">
      <w:pPr>
        <w:pStyle w:val="240"/>
      </w:pPr>
      <w:r>
        <w:t xml:space="preserve">相对湿度：不大于90% </w:t>
      </w:r>
    </w:p>
    <w:p w14:paraId="72B40AAA">
      <w:pPr>
        <w:pStyle w:val="240"/>
      </w:pPr>
      <w:r>
        <w:t>周围无强电磁场干扰，无腐蚀性气体和无强烈振动</w:t>
      </w:r>
    </w:p>
    <w:p w14:paraId="000A1393">
      <w:pPr>
        <w:pStyle w:val="240"/>
      </w:pPr>
      <w:r>
        <w:t>供电电源：交流电压220 V±22 V，频率50 Hz±1 Hz；</w:t>
      </w:r>
    </w:p>
    <w:p w14:paraId="1D9D8C9A">
      <w:pPr>
        <w:pStyle w:val="240"/>
      </w:pPr>
      <w:r>
        <w:t>接地要求：仪器有可靠接地。</w:t>
      </w:r>
    </w:p>
    <w:p w14:paraId="4027AB24">
      <w:pPr>
        <w:pStyle w:val="109"/>
        <w:ind w:firstLine="0" w:firstLineChars="0"/>
        <w:rPr>
          <w:rFonts w:ascii="Times New Roman" w:hAnsi="Times New Roman"/>
        </w:rPr>
      </w:pPr>
      <w:r>
        <w:rPr>
          <w:rFonts w:hint="eastAsia" w:ascii="黑体" w:hAnsi="黑体" w:eastAsia="黑体" w:cs="黑体"/>
        </w:rPr>
        <w:t>4.2</w:t>
      </w:r>
      <w:r>
        <w:rPr>
          <w:rFonts w:ascii="Times New Roman" w:hAnsi="Times New Roman"/>
        </w:rPr>
        <w:t>外观要求</w:t>
      </w:r>
    </w:p>
    <w:p w14:paraId="4CDD5839">
      <w:pPr>
        <w:pStyle w:val="234"/>
        <w:spacing w:line="312" w:lineRule="auto"/>
        <w:rPr>
          <w:rFonts w:ascii="Times New Roman"/>
        </w:rPr>
      </w:pPr>
      <w:r>
        <w:rPr>
          <w:rFonts w:ascii="Times New Roman"/>
        </w:rPr>
        <w:t>仪器的外观应满足如下要求：</w:t>
      </w:r>
    </w:p>
    <w:p w14:paraId="628E5BDF">
      <w:pPr>
        <w:pStyle w:val="240"/>
        <w:numPr>
          <w:ilvl w:val="0"/>
          <w:numId w:val="34"/>
        </w:numPr>
      </w:pPr>
      <w:r>
        <w:t>仪器的外观整齐、清洁，表面涂、镀层无明显剥落、擦伤、露底及污垢；</w:t>
      </w:r>
    </w:p>
    <w:p w14:paraId="0A6759B3">
      <w:pPr>
        <w:pStyle w:val="240"/>
      </w:pPr>
      <w:r>
        <w:t>所有铭牌及标志应耐久和清楚，内容符合相关法规、标准的要求；</w:t>
      </w:r>
    </w:p>
    <w:p w14:paraId="39E8D9C8">
      <w:pPr>
        <w:pStyle w:val="240"/>
      </w:pPr>
      <w:r>
        <w:t>所有紧固件不得松动，各种调节件灵活，功能正常；</w:t>
      </w:r>
    </w:p>
    <w:p w14:paraId="34F79883">
      <w:pPr>
        <w:pStyle w:val="240"/>
      </w:pPr>
      <w:r>
        <w:t>零件表面不得锈蚀；</w:t>
      </w:r>
    </w:p>
    <w:p w14:paraId="19A29EAD">
      <w:pPr>
        <w:pStyle w:val="240"/>
      </w:pPr>
      <w:r>
        <w:t>仪器可拆部分应能无障碍地拆装。</w:t>
      </w:r>
    </w:p>
    <w:p w14:paraId="0EAE1876">
      <w:pPr>
        <w:pStyle w:val="109"/>
        <w:ind w:firstLine="0" w:firstLineChars="0"/>
        <w:rPr>
          <w:rFonts w:ascii="Times New Roman" w:hAnsi="Times New Roman"/>
        </w:rPr>
      </w:pPr>
      <w:r>
        <w:rPr>
          <w:rFonts w:hint="eastAsia" w:ascii="黑体" w:hAnsi="黑体" w:eastAsia="黑体" w:cs="黑体"/>
        </w:rPr>
        <w:t>4.3</w:t>
      </w:r>
      <w:r>
        <w:rPr>
          <w:rFonts w:ascii="Times New Roman" w:hAnsi="Times New Roman"/>
        </w:rPr>
        <w:t>安全要求</w:t>
      </w:r>
    </w:p>
    <w:p w14:paraId="47ED1087">
      <w:pPr>
        <w:pStyle w:val="69"/>
        <w:rPr>
          <w:rFonts w:ascii="Times New Roman" w:hAnsi="Times New Roman"/>
        </w:rPr>
      </w:pPr>
      <w:r>
        <w:rPr>
          <w:rFonts w:hint="eastAsia" w:ascii="黑体" w:hAnsi="黑体" w:eastAsia="黑体" w:cs="黑体"/>
        </w:rPr>
        <w:t>4.3.1</w:t>
      </w:r>
      <w:r>
        <w:rPr>
          <w:rFonts w:ascii="Times New Roman" w:hAnsi="Times New Roman"/>
        </w:rPr>
        <w:t>绝缘电阻</w:t>
      </w:r>
    </w:p>
    <w:p w14:paraId="6C9FE494">
      <w:pPr>
        <w:pStyle w:val="234"/>
        <w:spacing w:line="312" w:lineRule="auto"/>
        <w:rPr>
          <w:rFonts w:ascii="Times New Roman"/>
          <w:szCs w:val="21"/>
        </w:rPr>
      </w:pPr>
      <w:r>
        <w:rPr>
          <w:rFonts w:ascii="Times New Roman"/>
          <w:szCs w:val="21"/>
        </w:rPr>
        <w:t>在正常工作条件下，仪器的绝缘电阻应不小于20 MΩ。</w:t>
      </w:r>
    </w:p>
    <w:p w14:paraId="4D11044A">
      <w:pPr>
        <w:pStyle w:val="69"/>
        <w:rPr>
          <w:rFonts w:ascii="Times New Roman" w:hAnsi="Times New Roman"/>
        </w:rPr>
      </w:pPr>
      <w:r>
        <w:rPr>
          <w:rFonts w:hint="eastAsia" w:ascii="黑体" w:hAnsi="黑体" w:eastAsia="黑体" w:cs="黑体"/>
        </w:rPr>
        <w:t>4.3.2</w:t>
      </w:r>
      <w:r>
        <w:rPr>
          <w:rFonts w:ascii="Times New Roman" w:hAnsi="Times New Roman"/>
        </w:rPr>
        <w:t>介电强度</w:t>
      </w:r>
    </w:p>
    <w:p w14:paraId="20DE74E9">
      <w:pPr>
        <w:pStyle w:val="234"/>
        <w:spacing w:line="312" w:lineRule="auto"/>
        <w:rPr>
          <w:rFonts w:ascii="Times New Roman"/>
          <w:szCs w:val="21"/>
        </w:rPr>
      </w:pPr>
      <w:r>
        <w:rPr>
          <w:rFonts w:ascii="Times New Roman"/>
          <w:szCs w:val="21"/>
        </w:rPr>
        <w:t>仪器的电源相、中连线与机壳间承受1500 V、50 Hz交流电压，历时1min应无击穿或重复飞弧现象。电晕效应和类似现象可忽略不计。</w:t>
      </w:r>
    </w:p>
    <w:p w14:paraId="1137C2F3">
      <w:pPr>
        <w:pStyle w:val="69"/>
        <w:rPr>
          <w:rFonts w:ascii="Times New Roman" w:hAnsi="Times New Roman"/>
        </w:rPr>
      </w:pPr>
      <w:r>
        <w:rPr>
          <w:rFonts w:hint="eastAsia" w:ascii="黑体" w:hAnsi="黑体" w:eastAsia="黑体" w:cs="黑体"/>
        </w:rPr>
        <w:t>4.3.3</w:t>
      </w:r>
      <w:r>
        <w:rPr>
          <w:rFonts w:ascii="Times New Roman" w:hAnsi="Times New Roman"/>
        </w:rPr>
        <w:t>接触电流</w:t>
      </w:r>
    </w:p>
    <w:p w14:paraId="233E8F83">
      <w:pPr>
        <w:pStyle w:val="234"/>
        <w:spacing w:line="312" w:lineRule="auto"/>
        <w:rPr>
          <w:rFonts w:ascii="Times New Roman"/>
          <w:szCs w:val="21"/>
        </w:rPr>
      </w:pPr>
      <w:r>
        <w:rPr>
          <w:rFonts w:ascii="Times New Roman"/>
          <w:szCs w:val="21"/>
        </w:rPr>
        <w:t>在正常工作条件下，仪器的接触电流应不大于0.5 mA（有效值）或0.7 mA（峰-峰值）。</w:t>
      </w:r>
    </w:p>
    <w:p w14:paraId="32146703">
      <w:pPr>
        <w:pStyle w:val="234"/>
        <w:spacing w:line="312" w:lineRule="auto"/>
        <w:rPr>
          <w:rFonts w:ascii="Times New Roman"/>
          <w:szCs w:val="21"/>
        </w:rPr>
      </w:pPr>
      <w:r>
        <w:rPr>
          <w:rFonts w:ascii="Times New Roman"/>
          <w:szCs w:val="21"/>
        </w:rPr>
        <w:t>在单一故障条件下，仪器的接触电流应不大于3.5 mA（有效值）或5 mA（峰-峰值）。</w:t>
      </w:r>
    </w:p>
    <w:p w14:paraId="53C0B06F">
      <w:pPr>
        <w:pStyle w:val="69"/>
        <w:rPr>
          <w:rFonts w:ascii="Times New Roman" w:hAnsi="Times New Roman"/>
        </w:rPr>
      </w:pPr>
      <w:r>
        <w:rPr>
          <w:rFonts w:hint="eastAsia" w:ascii="黑体" w:hAnsi="黑体" w:eastAsia="黑体" w:cs="黑体"/>
        </w:rPr>
        <w:t>4.3.4</w:t>
      </w:r>
      <w:r>
        <w:rPr>
          <w:rFonts w:ascii="Times New Roman" w:hAnsi="Times New Roman"/>
        </w:rPr>
        <w:t>保护接地</w:t>
      </w:r>
    </w:p>
    <w:p w14:paraId="223D8411">
      <w:pPr>
        <w:pStyle w:val="234"/>
        <w:spacing w:line="312" w:lineRule="auto"/>
        <w:rPr>
          <w:rFonts w:ascii="Times New Roman"/>
          <w:szCs w:val="21"/>
        </w:rPr>
      </w:pPr>
      <w:r>
        <w:rPr>
          <w:rFonts w:ascii="Times New Roman"/>
          <w:szCs w:val="21"/>
        </w:rPr>
        <w:t>接地保护端子和有效保护连接的每个可触及零部件间的阻抗都不得超过0.1 Ω，不包括电源线的阻抗。</w:t>
      </w:r>
    </w:p>
    <w:p w14:paraId="2D004FAD">
      <w:pPr>
        <w:pStyle w:val="109"/>
        <w:ind w:firstLine="0" w:firstLineChars="0"/>
        <w:rPr>
          <w:rFonts w:ascii="Times New Roman" w:hAnsi="Times New Roman"/>
        </w:rPr>
      </w:pPr>
      <w:bookmarkStart w:id="43" w:name="_Toc518911632"/>
      <w:bookmarkStart w:id="44" w:name="_Toc518914931"/>
      <w:r>
        <w:rPr>
          <w:rFonts w:hint="eastAsia" w:ascii="黑体" w:hAnsi="黑体" w:eastAsia="黑体" w:cs="黑体"/>
        </w:rPr>
        <w:t>4.4</w:t>
      </w:r>
      <w:r>
        <w:rPr>
          <w:rFonts w:ascii="Times New Roman" w:hAnsi="Times New Roman"/>
        </w:rPr>
        <w:t>气路密封性</w:t>
      </w:r>
      <w:bookmarkEnd w:id="43"/>
      <w:bookmarkEnd w:id="44"/>
    </w:p>
    <w:p w14:paraId="7FFD6EF8">
      <w:pPr>
        <w:pStyle w:val="234"/>
        <w:spacing w:line="312" w:lineRule="auto"/>
        <w:rPr>
          <w:rFonts w:ascii="Times New Roman"/>
        </w:rPr>
      </w:pPr>
      <w:r>
        <w:rPr>
          <w:rFonts w:ascii="Times New Roman"/>
          <w:szCs w:val="21"/>
        </w:rPr>
        <w:t>仪器的气路系统应能承受压力不小于仪器额定工作压力1.5倍的压力试验，15 min内压力降不超过试验压力的2%。</w:t>
      </w:r>
    </w:p>
    <w:p w14:paraId="3897191B">
      <w:pPr>
        <w:pStyle w:val="109"/>
        <w:ind w:firstLine="0" w:firstLineChars="0"/>
        <w:rPr>
          <w:rFonts w:ascii="Times New Roman" w:hAnsi="Times New Roman"/>
        </w:rPr>
      </w:pPr>
      <w:bookmarkStart w:id="45" w:name="_Toc518914936"/>
      <w:bookmarkStart w:id="46" w:name="_Toc518911637"/>
      <w:r>
        <w:rPr>
          <w:rFonts w:hint="eastAsia" w:ascii="黑体" w:hAnsi="黑体" w:eastAsia="黑体" w:cs="黑体"/>
        </w:rPr>
        <w:t>4.5</w:t>
      </w:r>
      <w:r>
        <w:rPr>
          <w:rFonts w:ascii="Times New Roman" w:hAnsi="Times New Roman"/>
        </w:rPr>
        <w:t>气室温度稳定性</w:t>
      </w:r>
    </w:p>
    <w:p w14:paraId="17AAE1C6">
      <w:pPr>
        <w:pStyle w:val="243"/>
        <w:widowControl/>
        <w:tabs>
          <w:tab w:val="center" w:pos="4201"/>
          <w:tab w:val="right" w:leader="dot" w:pos="9298"/>
        </w:tabs>
        <w:spacing w:line="312" w:lineRule="auto"/>
        <w:rPr>
          <w:rFonts w:hint="default" w:ascii="Times New Roman" w:hAnsi="Times New Roman" w:cs="Times New Roman"/>
        </w:rPr>
      </w:pPr>
      <w:r>
        <w:rPr>
          <w:rFonts w:hint="default" w:ascii="Times New Roman" w:hAnsi="Times New Roman" w:cs="Times New Roman"/>
        </w:rPr>
        <w:t>仪器预热稳定后，气室温度稳定性不超过±0.5 ℃。</w:t>
      </w:r>
    </w:p>
    <w:p w14:paraId="11A42EEA">
      <w:pPr>
        <w:pStyle w:val="109"/>
        <w:ind w:firstLine="0" w:firstLineChars="0"/>
        <w:rPr>
          <w:rFonts w:ascii="Times New Roman" w:hAnsi="Times New Roman"/>
        </w:rPr>
      </w:pPr>
      <w:r>
        <w:rPr>
          <w:rFonts w:hint="eastAsia" w:ascii="黑体" w:hAnsi="黑体" w:eastAsia="黑体" w:cs="黑体"/>
        </w:rPr>
        <w:t>4.6</w:t>
      </w:r>
      <w:r>
        <w:rPr>
          <w:rFonts w:ascii="Times New Roman" w:hAnsi="Times New Roman"/>
        </w:rPr>
        <w:t>性能要求</w:t>
      </w:r>
      <w:bookmarkEnd w:id="45"/>
      <w:bookmarkEnd w:id="46"/>
    </w:p>
    <w:p w14:paraId="62A89382">
      <w:pPr>
        <w:pStyle w:val="238"/>
        <w:numPr>
          <w:ilvl w:val="2"/>
          <w:numId w:val="35"/>
        </w:numPr>
        <w:spacing w:before="120" w:after="120"/>
        <w:rPr>
          <w:rFonts w:ascii="Times New Roman" w:hAnsi="Times New Roman"/>
        </w:rPr>
      </w:pPr>
      <w:r>
        <w:rPr>
          <w:rFonts w:ascii="Times New Roman" w:hAnsi="Times New Roman"/>
        </w:rPr>
        <w:t>检出限</w:t>
      </w:r>
    </w:p>
    <w:p w14:paraId="782FCD85">
      <w:pPr>
        <w:pStyle w:val="234"/>
        <w:spacing w:line="312" w:lineRule="auto"/>
        <w:rPr>
          <w:rFonts w:ascii="Times New Roman"/>
          <w:szCs w:val="21"/>
        </w:rPr>
      </w:pPr>
      <w:r>
        <w:rPr>
          <w:rFonts w:ascii="Times New Roman"/>
          <w:szCs w:val="21"/>
        </w:rPr>
        <w:t>检出限不大于0.5%满量程。</w:t>
      </w:r>
    </w:p>
    <w:p w14:paraId="5CEC6BB7">
      <w:pPr>
        <w:pStyle w:val="238"/>
        <w:numPr>
          <w:ilvl w:val="2"/>
          <w:numId w:val="35"/>
        </w:numPr>
        <w:spacing w:before="120" w:after="120"/>
        <w:rPr>
          <w:rFonts w:ascii="Times New Roman" w:hAnsi="Times New Roman"/>
        </w:rPr>
      </w:pPr>
      <w:r>
        <w:rPr>
          <w:rFonts w:ascii="Times New Roman" w:hAnsi="Times New Roman"/>
        </w:rPr>
        <w:t>示值误差</w:t>
      </w:r>
    </w:p>
    <w:p w14:paraId="74ED23D1">
      <w:pPr>
        <w:pStyle w:val="234"/>
        <w:spacing w:line="312" w:lineRule="auto"/>
        <w:rPr>
          <w:rFonts w:ascii="Times New Roman"/>
          <w:szCs w:val="21"/>
        </w:rPr>
      </w:pPr>
      <w:r>
        <w:rPr>
          <w:rFonts w:ascii="Times New Roman"/>
        </w:rPr>
        <w:t>示值误差</w:t>
      </w:r>
      <w:r>
        <w:rPr>
          <w:rFonts w:ascii="Times New Roman"/>
          <w:szCs w:val="21"/>
        </w:rPr>
        <w:t>不超过±2%满量程。</w:t>
      </w:r>
    </w:p>
    <w:p w14:paraId="48840F0C">
      <w:pPr>
        <w:pStyle w:val="238"/>
        <w:numPr>
          <w:ilvl w:val="2"/>
          <w:numId w:val="35"/>
        </w:numPr>
        <w:spacing w:before="120" w:after="120"/>
        <w:rPr>
          <w:rFonts w:ascii="Times New Roman" w:hAnsi="Times New Roman"/>
        </w:rPr>
      </w:pPr>
      <w:r>
        <w:rPr>
          <w:rFonts w:ascii="Times New Roman" w:hAnsi="Times New Roman"/>
        </w:rPr>
        <w:t>重复性</w:t>
      </w:r>
    </w:p>
    <w:p w14:paraId="0D421E99">
      <w:pPr>
        <w:pStyle w:val="234"/>
        <w:spacing w:line="312" w:lineRule="auto"/>
        <w:rPr>
          <w:rFonts w:ascii="Times New Roman"/>
          <w:szCs w:val="21"/>
        </w:rPr>
      </w:pPr>
      <w:r>
        <w:rPr>
          <w:rFonts w:ascii="Times New Roman"/>
          <w:szCs w:val="21"/>
        </w:rPr>
        <w:t>重复性不大于1%。</w:t>
      </w:r>
    </w:p>
    <w:p w14:paraId="3C9C81E3">
      <w:pPr>
        <w:pStyle w:val="238"/>
        <w:numPr>
          <w:ilvl w:val="2"/>
          <w:numId w:val="35"/>
        </w:numPr>
        <w:spacing w:before="120" w:after="120"/>
        <w:rPr>
          <w:rFonts w:ascii="Times New Roman" w:hAnsi="Times New Roman"/>
        </w:rPr>
      </w:pPr>
      <w:r>
        <w:rPr>
          <w:rFonts w:ascii="Times New Roman" w:hAnsi="Times New Roman"/>
        </w:rPr>
        <w:t>响应时间</w:t>
      </w:r>
    </w:p>
    <w:p w14:paraId="5B2FC50B">
      <w:pPr>
        <w:pStyle w:val="234"/>
        <w:spacing w:line="312" w:lineRule="auto"/>
        <w:rPr>
          <w:rFonts w:ascii="Times New Roman"/>
          <w:szCs w:val="21"/>
        </w:rPr>
      </w:pPr>
      <w:r>
        <w:rPr>
          <w:rFonts w:ascii="Times New Roman"/>
          <w:szCs w:val="21"/>
        </w:rPr>
        <w:t>响应时间（上升时间和下降时间）不大于90 s。</w:t>
      </w:r>
    </w:p>
    <w:p w14:paraId="52A72032">
      <w:pPr>
        <w:pStyle w:val="238"/>
        <w:numPr>
          <w:ilvl w:val="2"/>
          <w:numId w:val="35"/>
        </w:numPr>
        <w:spacing w:before="120" w:after="120"/>
        <w:rPr>
          <w:rFonts w:ascii="Times New Roman" w:hAnsi="Times New Roman"/>
        </w:rPr>
      </w:pPr>
      <w:r>
        <w:rPr>
          <w:rFonts w:ascii="Times New Roman" w:hAnsi="Times New Roman"/>
        </w:rPr>
        <w:t>漂移</w:t>
      </w:r>
    </w:p>
    <w:p w14:paraId="708AF8E6">
      <w:pPr>
        <w:pStyle w:val="234"/>
        <w:spacing w:line="312" w:lineRule="auto"/>
        <w:ind w:firstLine="0" w:firstLineChars="0"/>
        <w:rPr>
          <w:rFonts w:ascii="Times New Roman"/>
          <w:szCs w:val="21"/>
        </w:rPr>
      </w:pPr>
      <w:r>
        <w:rPr>
          <w:rFonts w:hint="eastAsia" w:ascii="黑体" w:hAnsi="黑体" w:eastAsia="黑体" w:cs="黑体"/>
          <w:szCs w:val="21"/>
        </w:rPr>
        <w:t>4.6.5.1</w:t>
      </w:r>
      <w:r>
        <w:rPr>
          <w:rFonts w:ascii="Times New Roman"/>
          <w:szCs w:val="21"/>
        </w:rPr>
        <w:t xml:space="preserve"> </w:t>
      </w:r>
      <w:r>
        <w:rPr>
          <w:rFonts w:hint="eastAsia" w:ascii="Times New Roman"/>
          <w:szCs w:val="21"/>
          <w:lang w:val="en-US" w:eastAsia="zh-CN"/>
        </w:rPr>
        <w:t xml:space="preserve"> </w:t>
      </w:r>
      <w:r>
        <w:rPr>
          <w:rFonts w:ascii="Times New Roman"/>
          <w:szCs w:val="21"/>
        </w:rPr>
        <w:t>24 h零点漂移不超过±2%满量程。</w:t>
      </w:r>
    </w:p>
    <w:p w14:paraId="1E7B8E7C">
      <w:pPr>
        <w:pStyle w:val="234"/>
        <w:spacing w:line="312" w:lineRule="auto"/>
        <w:ind w:firstLine="0" w:firstLineChars="0"/>
        <w:rPr>
          <w:rFonts w:ascii="Times New Roman"/>
          <w:szCs w:val="21"/>
        </w:rPr>
      </w:pPr>
      <w:r>
        <w:rPr>
          <w:rFonts w:hint="eastAsia" w:ascii="黑体" w:hAnsi="黑体" w:eastAsia="黑体" w:cs="黑体"/>
          <w:szCs w:val="21"/>
        </w:rPr>
        <w:t>4.6.5.2</w:t>
      </w:r>
      <w:r>
        <w:rPr>
          <w:rFonts w:ascii="Times New Roman"/>
          <w:szCs w:val="21"/>
        </w:rPr>
        <w:t xml:space="preserve"> </w:t>
      </w:r>
      <w:r>
        <w:rPr>
          <w:rFonts w:hint="eastAsia" w:ascii="Times New Roman"/>
          <w:szCs w:val="21"/>
          <w:lang w:val="en-US" w:eastAsia="zh-CN"/>
        </w:rPr>
        <w:t xml:space="preserve"> </w:t>
      </w:r>
      <w:r>
        <w:rPr>
          <w:rFonts w:ascii="Times New Roman"/>
          <w:szCs w:val="21"/>
        </w:rPr>
        <w:t>24 h量程漂移不超过±2%满量程。</w:t>
      </w:r>
    </w:p>
    <w:p w14:paraId="0515F980">
      <w:pPr>
        <w:pStyle w:val="238"/>
        <w:numPr>
          <w:ilvl w:val="2"/>
          <w:numId w:val="35"/>
        </w:numPr>
        <w:spacing w:before="120" w:after="120"/>
        <w:rPr>
          <w:rFonts w:ascii="Times New Roman" w:hAnsi="Times New Roman"/>
        </w:rPr>
      </w:pPr>
      <w:r>
        <w:rPr>
          <w:rFonts w:ascii="Times New Roman" w:hAnsi="Times New Roman"/>
        </w:rPr>
        <w:t>干扰成分的影响</w:t>
      </w:r>
    </w:p>
    <w:p w14:paraId="37115DCC">
      <w:pPr>
        <w:pStyle w:val="234"/>
        <w:spacing w:line="312" w:lineRule="auto"/>
        <w:rPr>
          <w:rFonts w:ascii="Times New Roman"/>
        </w:rPr>
      </w:pPr>
      <w:r>
        <w:rPr>
          <w:rFonts w:ascii="Times New Roman"/>
        </w:rPr>
        <w:t>依次通入表1中相应浓度的干扰成分气体，导致分析仪器</w:t>
      </w:r>
      <w:r>
        <w:rPr>
          <w:rFonts w:hint="eastAsia" w:ascii="Times New Roman"/>
          <w:lang w:val="en-US" w:eastAsia="zh-CN"/>
        </w:rPr>
        <w:t>示值</w:t>
      </w:r>
      <w:r>
        <w:rPr>
          <w:rFonts w:ascii="Times New Roman"/>
        </w:rPr>
        <w:t>变化的正干扰和负干扰不超过</w:t>
      </w:r>
      <w:r>
        <w:rPr>
          <w:rFonts w:ascii="Times New Roman"/>
          <w:szCs w:val="21"/>
        </w:rPr>
        <w:t>±5%满量程。</w:t>
      </w:r>
    </w:p>
    <w:p w14:paraId="30481ABA">
      <w:pPr>
        <w:pStyle w:val="234"/>
        <w:spacing w:line="312" w:lineRule="auto"/>
        <w:jc w:val="center"/>
        <w:rPr>
          <w:rFonts w:hint="eastAsia" w:ascii="黑体" w:hAnsi="黑体" w:eastAsia="黑体" w:cs="黑体"/>
        </w:rPr>
      </w:pPr>
      <w:r>
        <w:rPr>
          <w:rFonts w:hint="eastAsia" w:ascii="黑体" w:hAnsi="黑体" w:eastAsia="黑体" w:cs="黑体"/>
        </w:rPr>
        <w:t>表1 测试使用的干扰成分气体</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69"/>
        <w:gridCol w:w="3279"/>
        <w:gridCol w:w="2950"/>
      </w:tblGrid>
      <w:tr w14:paraId="688ED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9" w:type="dxa"/>
          </w:tcPr>
          <w:p w14:paraId="59360D36">
            <w:pPr>
              <w:pStyle w:val="234"/>
              <w:spacing w:line="312" w:lineRule="auto"/>
              <w:ind w:firstLine="0" w:firstLineChars="0"/>
              <w:jc w:val="center"/>
              <w:rPr>
                <w:rFonts w:hint="eastAsia" w:ascii="黑体" w:hAnsi="黑体" w:eastAsia="黑体" w:cs="黑体"/>
                <w:sz w:val="18"/>
                <w:szCs w:val="18"/>
              </w:rPr>
            </w:pPr>
            <w:r>
              <w:rPr>
                <w:rFonts w:hint="eastAsia" w:ascii="黑体" w:hAnsi="黑体" w:eastAsia="黑体" w:cs="黑体"/>
                <w:sz w:val="18"/>
                <w:szCs w:val="18"/>
              </w:rPr>
              <w:t>气体类型</w:t>
            </w:r>
          </w:p>
        </w:tc>
        <w:tc>
          <w:tcPr>
            <w:tcW w:w="3279" w:type="dxa"/>
          </w:tcPr>
          <w:p w14:paraId="09A5C0F0">
            <w:pPr>
              <w:pStyle w:val="234"/>
              <w:spacing w:line="312" w:lineRule="auto"/>
              <w:ind w:firstLine="0" w:firstLineChars="0"/>
              <w:jc w:val="center"/>
              <w:rPr>
                <w:rFonts w:hint="eastAsia" w:ascii="黑体" w:hAnsi="黑体" w:eastAsia="黑体" w:cs="黑体"/>
                <w:sz w:val="18"/>
                <w:szCs w:val="18"/>
              </w:rPr>
            </w:pPr>
            <w:r>
              <w:rPr>
                <w:rFonts w:hint="eastAsia" w:ascii="黑体" w:hAnsi="黑体" w:eastAsia="黑体" w:cs="黑体"/>
                <w:sz w:val="18"/>
                <w:szCs w:val="18"/>
              </w:rPr>
              <w:t>气体名称</w:t>
            </w:r>
          </w:p>
        </w:tc>
        <w:tc>
          <w:tcPr>
            <w:tcW w:w="2950" w:type="dxa"/>
          </w:tcPr>
          <w:p w14:paraId="36E77561">
            <w:pPr>
              <w:pStyle w:val="234"/>
              <w:spacing w:line="312" w:lineRule="auto"/>
              <w:ind w:firstLine="0" w:firstLineChars="0"/>
              <w:jc w:val="center"/>
              <w:rPr>
                <w:rFonts w:hint="eastAsia" w:ascii="黑体" w:hAnsi="黑体" w:eastAsia="黑体" w:cs="黑体"/>
                <w:sz w:val="18"/>
                <w:szCs w:val="18"/>
              </w:rPr>
            </w:pPr>
            <w:r>
              <w:rPr>
                <w:rFonts w:hint="eastAsia" w:ascii="黑体" w:hAnsi="黑体" w:eastAsia="黑体" w:cs="黑体"/>
                <w:sz w:val="18"/>
                <w:szCs w:val="18"/>
              </w:rPr>
              <w:t>浓度</w:t>
            </w:r>
          </w:p>
        </w:tc>
      </w:tr>
      <w:tr w14:paraId="3E99E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9" w:type="dxa"/>
            <w:vMerge w:val="restart"/>
            <w:vAlign w:val="center"/>
          </w:tcPr>
          <w:p w14:paraId="4B71F4B7">
            <w:pPr>
              <w:pStyle w:val="234"/>
              <w:spacing w:line="312" w:lineRule="auto"/>
              <w:ind w:firstLine="0" w:firstLineChars="0"/>
              <w:jc w:val="center"/>
              <w:rPr>
                <w:rFonts w:hint="default" w:ascii="Times New Roman" w:hAnsi="Times New Roman" w:cs="Times New Roman"/>
                <w:sz w:val="18"/>
                <w:szCs w:val="18"/>
              </w:rPr>
            </w:pPr>
            <w:r>
              <w:rPr>
                <w:rFonts w:hint="default" w:ascii="Times New Roman" w:hAnsi="Times New Roman" w:cs="Times New Roman"/>
                <w:sz w:val="18"/>
                <w:szCs w:val="18"/>
              </w:rPr>
              <w:t>干扰气体</w:t>
            </w:r>
          </w:p>
        </w:tc>
        <w:tc>
          <w:tcPr>
            <w:tcW w:w="3279" w:type="dxa"/>
          </w:tcPr>
          <w:p w14:paraId="6DC5EDEA">
            <w:pPr>
              <w:pStyle w:val="234"/>
              <w:spacing w:line="312" w:lineRule="auto"/>
              <w:ind w:firstLine="0" w:firstLineChars="0"/>
              <w:jc w:val="center"/>
              <w:rPr>
                <w:rFonts w:hint="default" w:ascii="Times New Roman" w:hAnsi="Times New Roman" w:cs="Times New Roman"/>
                <w:sz w:val="18"/>
                <w:szCs w:val="18"/>
              </w:rPr>
            </w:pPr>
            <w:r>
              <w:rPr>
                <w:rFonts w:hint="default" w:ascii="Times New Roman" w:hAnsi="Times New Roman" w:cs="Times New Roman"/>
                <w:sz w:val="18"/>
                <w:szCs w:val="18"/>
              </w:rPr>
              <w:t>H</w:t>
            </w:r>
            <w:r>
              <w:rPr>
                <w:rFonts w:hint="default" w:ascii="Times New Roman" w:hAnsi="Times New Roman" w:cs="Times New Roman"/>
                <w:sz w:val="18"/>
                <w:szCs w:val="18"/>
                <w:vertAlign w:val="subscript"/>
              </w:rPr>
              <w:t>2</w:t>
            </w:r>
            <w:r>
              <w:rPr>
                <w:rFonts w:hint="default" w:ascii="Times New Roman" w:hAnsi="Times New Roman" w:cs="Times New Roman"/>
                <w:sz w:val="18"/>
                <w:szCs w:val="18"/>
              </w:rPr>
              <w:t>O</w:t>
            </w:r>
          </w:p>
        </w:tc>
        <w:tc>
          <w:tcPr>
            <w:tcW w:w="2950" w:type="dxa"/>
          </w:tcPr>
          <w:p w14:paraId="5D451740">
            <w:pPr>
              <w:pStyle w:val="234"/>
              <w:spacing w:line="312" w:lineRule="auto"/>
              <w:ind w:firstLine="0" w:firstLineChars="0"/>
              <w:jc w:val="center"/>
              <w:rPr>
                <w:rFonts w:hint="default" w:ascii="Times New Roman" w:hAnsi="Times New Roman" w:cs="Times New Roman"/>
                <w:sz w:val="18"/>
                <w:szCs w:val="18"/>
              </w:rPr>
            </w:pPr>
            <w:r>
              <w:rPr>
                <w:rFonts w:hint="default" w:ascii="Times New Roman" w:hAnsi="Times New Roman" w:cs="Times New Roman"/>
                <w:sz w:val="18"/>
                <w:szCs w:val="18"/>
              </w:rPr>
              <w:t>15%</w:t>
            </w:r>
          </w:p>
        </w:tc>
      </w:tr>
      <w:tr w14:paraId="68494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9" w:type="dxa"/>
            <w:vMerge w:val="continue"/>
          </w:tcPr>
          <w:p w14:paraId="3205A8AD">
            <w:pPr>
              <w:pStyle w:val="234"/>
              <w:spacing w:line="312" w:lineRule="auto"/>
              <w:ind w:firstLine="0" w:firstLineChars="0"/>
              <w:jc w:val="center"/>
              <w:rPr>
                <w:rFonts w:hint="default" w:ascii="Times New Roman" w:hAnsi="Times New Roman" w:cs="Times New Roman"/>
                <w:sz w:val="18"/>
                <w:szCs w:val="18"/>
              </w:rPr>
            </w:pPr>
          </w:p>
        </w:tc>
        <w:tc>
          <w:tcPr>
            <w:tcW w:w="3279" w:type="dxa"/>
          </w:tcPr>
          <w:p w14:paraId="1E24CF23">
            <w:pPr>
              <w:pStyle w:val="234"/>
              <w:spacing w:line="312" w:lineRule="auto"/>
              <w:ind w:firstLine="0" w:firstLineChars="0"/>
              <w:jc w:val="center"/>
              <w:rPr>
                <w:rFonts w:hint="default" w:ascii="Times New Roman" w:hAnsi="Times New Roman" w:cs="Times New Roman"/>
                <w:sz w:val="18"/>
                <w:szCs w:val="18"/>
              </w:rPr>
            </w:pPr>
            <w:r>
              <w:rPr>
                <w:rFonts w:hint="default" w:ascii="Times New Roman" w:hAnsi="Times New Roman" w:cs="Times New Roman"/>
                <w:sz w:val="18"/>
                <w:szCs w:val="18"/>
              </w:rPr>
              <w:t>CO</w:t>
            </w:r>
            <w:r>
              <w:rPr>
                <w:rFonts w:hint="default" w:ascii="Times New Roman" w:hAnsi="Times New Roman" w:cs="Times New Roman"/>
                <w:sz w:val="18"/>
                <w:szCs w:val="18"/>
                <w:vertAlign w:val="subscript"/>
              </w:rPr>
              <w:t>2</w:t>
            </w:r>
            <w:r>
              <w:rPr>
                <w:rFonts w:hint="default" w:ascii="Times New Roman" w:hAnsi="Times New Roman" w:cs="Times New Roman"/>
                <w:sz w:val="18"/>
                <w:szCs w:val="18"/>
                <w:vertAlign w:val="superscript"/>
              </w:rPr>
              <w:t>*</w:t>
            </w:r>
          </w:p>
        </w:tc>
        <w:tc>
          <w:tcPr>
            <w:tcW w:w="2950" w:type="dxa"/>
          </w:tcPr>
          <w:p w14:paraId="052B46D6">
            <w:pPr>
              <w:pStyle w:val="234"/>
              <w:spacing w:line="312" w:lineRule="auto"/>
              <w:ind w:firstLine="0" w:firstLineChars="0"/>
              <w:jc w:val="center"/>
              <w:rPr>
                <w:rFonts w:hint="default" w:ascii="Times New Roman" w:hAnsi="Times New Roman" w:cs="Times New Roman"/>
                <w:sz w:val="18"/>
                <w:szCs w:val="18"/>
              </w:rPr>
            </w:pPr>
            <w:r>
              <w:rPr>
                <w:rFonts w:hint="default" w:ascii="Times New Roman" w:hAnsi="Times New Roman" w:cs="Times New Roman"/>
                <w:sz w:val="18"/>
                <w:szCs w:val="18"/>
              </w:rPr>
              <w:t>15%</w:t>
            </w:r>
          </w:p>
        </w:tc>
      </w:tr>
      <w:tr w14:paraId="0946B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9" w:type="dxa"/>
            <w:vMerge w:val="continue"/>
          </w:tcPr>
          <w:p w14:paraId="5D38A641">
            <w:pPr>
              <w:pStyle w:val="234"/>
              <w:spacing w:line="312" w:lineRule="auto"/>
              <w:ind w:firstLine="0" w:firstLineChars="0"/>
              <w:jc w:val="center"/>
              <w:rPr>
                <w:rFonts w:hint="default" w:ascii="Times New Roman" w:hAnsi="Times New Roman" w:cs="Times New Roman"/>
                <w:sz w:val="18"/>
                <w:szCs w:val="18"/>
              </w:rPr>
            </w:pPr>
          </w:p>
        </w:tc>
        <w:tc>
          <w:tcPr>
            <w:tcW w:w="3279" w:type="dxa"/>
          </w:tcPr>
          <w:p w14:paraId="614EE899">
            <w:pPr>
              <w:pStyle w:val="234"/>
              <w:spacing w:line="312" w:lineRule="auto"/>
              <w:ind w:firstLine="0" w:firstLineChars="0"/>
              <w:jc w:val="center"/>
              <w:rPr>
                <w:rFonts w:hint="default" w:ascii="Times New Roman" w:hAnsi="Times New Roman" w:cs="Times New Roman"/>
                <w:sz w:val="18"/>
                <w:szCs w:val="18"/>
              </w:rPr>
            </w:pPr>
            <w:r>
              <w:rPr>
                <w:rFonts w:hint="default" w:ascii="Times New Roman" w:hAnsi="Times New Roman" w:cs="Times New Roman"/>
                <w:sz w:val="18"/>
                <w:szCs w:val="18"/>
              </w:rPr>
              <w:t>CO</w:t>
            </w:r>
          </w:p>
        </w:tc>
        <w:tc>
          <w:tcPr>
            <w:tcW w:w="2950" w:type="dxa"/>
          </w:tcPr>
          <w:p w14:paraId="2B3E1F62">
            <w:pPr>
              <w:pStyle w:val="234"/>
              <w:spacing w:line="312" w:lineRule="auto"/>
              <w:ind w:firstLine="0" w:firstLineChars="0"/>
              <w:jc w:val="center"/>
              <w:rPr>
                <w:rFonts w:hint="default" w:ascii="Times New Roman" w:hAnsi="Times New Roman" w:cs="Times New Roman"/>
                <w:sz w:val="18"/>
                <w:szCs w:val="18"/>
              </w:rPr>
            </w:pPr>
            <w:r>
              <w:rPr>
                <w:rFonts w:hint="default" w:ascii="Times New Roman" w:hAnsi="Times New Roman" w:cs="Times New Roman"/>
                <w:sz w:val="18"/>
                <w:szCs w:val="18"/>
              </w:rPr>
              <w:t>300mg/m3</w:t>
            </w:r>
          </w:p>
        </w:tc>
      </w:tr>
      <w:tr w14:paraId="1DA41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9" w:type="dxa"/>
            <w:vMerge w:val="continue"/>
          </w:tcPr>
          <w:p w14:paraId="791B7F61">
            <w:pPr>
              <w:pStyle w:val="234"/>
              <w:spacing w:line="312" w:lineRule="auto"/>
              <w:ind w:firstLine="0" w:firstLineChars="0"/>
              <w:jc w:val="center"/>
              <w:rPr>
                <w:rFonts w:hint="default" w:ascii="Times New Roman" w:hAnsi="Times New Roman" w:cs="Times New Roman"/>
                <w:sz w:val="18"/>
                <w:szCs w:val="18"/>
              </w:rPr>
            </w:pPr>
          </w:p>
        </w:tc>
        <w:tc>
          <w:tcPr>
            <w:tcW w:w="3279" w:type="dxa"/>
          </w:tcPr>
          <w:p w14:paraId="2EF2A3E6">
            <w:pPr>
              <w:pStyle w:val="234"/>
              <w:spacing w:line="312" w:lineRule="auto"/>
              <w:ind w:firstLine="0" w:firstLineChars="0"/>
              <w:jc w:val="center"/>
              <w:rPr>
                <w:rFonts w:hint="default" w:ascii="Times New Roman" w:hAnsi="Times New Roman" w:cs="Times New Roman"/>
                <w:sz w:val="18"/>
                <w:szCs w:val="18"/>
              </w:rPr>
            </w:pPr>
            <w:r>
              <w:rPr>
                <w:rFonts w:hint="default" w:ascii="Times New Roman" w:hAnsi="Times New Roman" w:cs="Times New Roman"/>
                <w:sz w:val="18"/>
                <w:szCs w:val="18"/>
              </w:rPr>
              <w:t>NH</w:t>
            </w:r>
            <w:r>
              <w:rPr>
                <w:rFonts w:hint="default" w:ascii="Times New Roman" w:hAnsi="Times New Roman" w:cs="Times New Roman"/>
                <w:sz w:val="18"/>
                <w:szCs w:val="18"/>
                <w:vertAlign w:val="subscript"/>
              </w:rPr>
              <w:t>3</w:t>
            </w:r>
          </w:p>
        </w:tc>
        <w:tc>
          <w:tcPr>
            <w:tcW w:w="2950" w:type="dxa"/>
          </w:tcPr>
          <w:p w14:paraId="2D868B8B">
            <w:pPr>
              <w:pStyle w:val="234"/>
              <w:spacing w:line="312" w:lineRule="auto"/>
              <w:ind w:firstLine="0" w:firstLineChars="0"/>
              <w:jc w:val="center"/>
              <w:rPr>
                <w:rFonts w:hint="default" w:ascii="Times New Roman" w:hAnsi="Times New Roman" w:cs="Times New Roman"/>
                <w:sz w:val="18"/>
                <w:szCs w:val="18"/>
              </w:rPr>
            </w:pPr>
            <w:r>
              <w:rPr>
                <w:rFonts w:hint="default" w:ascii="Times New Roman" w:hAnsi="Times New Roman" w:cs="Times New Roman"/>
                <w:sz w:val="18"/>
                <w:szCs w:val="18"/>
              </w:rPr>
              <w:t>20mg/m3</w:t>
            </w:r>
          </w:p>
        </w:tc>
      </w:tr>
      <w:tr w14:paraId="097F6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9" w:type="dxa"/>
            <w:vMerge w:val="continue"/>
          </w:tcPr>
          <w:p w14:paraId="3B109495">
            <w:pPr>
              <w:pStyle w:val="234"/>
              <w:spacing w:line="312" w:lineRule="auto"/>
              <w:ind w:firstLine="0" w:firstLineChars="0"/>
              <w:jc w:val="center"/>
              <w:rPr>
                <w:rFonts w:hint="default" w:ascii="Times New Roman" w:hAnsi="Times New Roman" w:cs="Times New Roman"/>
                <w:sz w:val="18"/>
                <w:szCs w:val="18"/>
              </w:rPr>
            </w:pPr>
          </w:p>
        </w:tc>
        <w:tc>
          <w:tcPr>
            <w:tcW w:w="3279" w:type="dxa"/>
          </w:tcPr>
          <w:p w14:paraId="0620F618">
            <w:pPr>
              <w:pStyle w:val="234"/>
              <w:spacing w:line="312" w:lineRule="auto"/>
              <w:ind w:firstLine="0" w:firstLineChars="0"/>
              <w:jc w:val="center"/>
              <w:rPr>
                <w:rFonts w:hint="default" w:ascii="Times New Roman" w:hAnsi="Times New Roman" w:cs="Times New Roman"/>
                <w:sz w:val="18"/>
                <w:szCs w:val="18"/>
              </w:rPr>
            </w:pPr>
            <w:r>
              <w:rPr>
                <w:rFonts w:hint="default" w:ascii="Times New Roman" w:hAnsi="Times New Roman" w:cs="Times New Roman"/>
                <w:sz w:val="18"/>
                <w:szCs w:val="18"/>
              </w:rPr>
              <w:t>HCl</w:t>
            </w:r>
          </w:p>
        </w:tc>
        <w:tc>
          <w:tcPr>
            <w:tcW w:w="2950" w:type="dxa"/>
          </w:tcPr>
          <w:p w14:paraId="398DA1A7">
            <w:pPr>
              <w:pStyle w:val="234"/>
              <w:spacing w:line="312" w:lineRule="auto"/>
              <w:ind w:firstLine="0" w:firstLineChars="0"/>
              <w:jc w:val="center"/>
              <w:rPr>
                <w:rFonts w:hint="default" w:ascii="Times New Roman" w:hAnsi="Times New Roman" w:cs="Times New Roman"/>
                <w:sz w:val="18"/>
                <w:szCs w:val="18"/>
              </w:rPr>
            </w:pPr>
            <w:r>
              <w:rPr>
                <w:rFonts w:hint="default" w:ascii="Times New Roman" w:hAnsi="Times New Roman" w:cs="Times New Roman"/>
                <w:sz w:val="18"/>
                <w:szCs w:val="18"/>
              </w:rPr>
              <w:t>200mg/m3</w:t>
            </w:r>
          </w:p>
        </w:tc>
      </w:tr>
      <w:tr w14:paraId="4A22E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8798" w:type="dxa"/>
            <w:gridSpan w:val="3"/>
          </w:tcPr>
          <w:p w14:paraId="76A8F098">
            <w:pPr>
              <w:pStyle w:val="234"/>
              <w:spacing w:line="312" w:lineRule="auto"/>
              <w:ind w:firstLine="180" w:firstLineChars="100"/>
              <w:jc w:val="left"/>
              <w:rPr>
                <w:rFonts w:hint="eastAsia" w:ascii="Times New Roman" w:eastAsia="宋体"/>
                <w:sz w:val="18"/>
                <w:szCs w:val="18"/>
                <w:lang w:val="en-US" w:eastAsia="zh-CN"/>
              </w:rPr>
            </w:pPr>
            <w:r>
              <w:rPr>
                <w:rFonts w:ascii="Times New Roman" w:eastAsia="黑体"/>
                <w:sz w:val="18"/>
                <w:szCs w:val="18"/>
              </w:rPr>
              <w:t>注：</w:t>
            </w:r>
            <w:r>
              <w:rPr>
                <w:rFonts w:ascii="Times New Roman"/>
                <w:sz w:val="18"/>
                <w:szCs w:val="18"/>
                <w:vertAlign w:val="superscript"/>
              </w:rPr>
              <w:t>*</w:t>
            </w:r>
            <w:r>
              <w:rPr>
                <w:rFonts w:ascii="Times New Roman"/>
                <w:sz w:val="18"/>
                <w:szCs w:val="18"/>
              </w:rPr>
              <w:t>CO</w:t>
            </w:r>
            <w:r>
              <w:rPr>
                <w:rFonts w:ascii="Times New Roman"/>
                <w:sz w:val="18"/>
                <w:szCs w:val="18"/>
                <w:vertAlign w:val="subscript"/>
              </w:rPr>
              <w:t>2</w:t>
            </w:r>
            <w:r>
              <w:rPr>
                <w:rFonts w:ascii="Times New Roman"/>
                <w:sz w:val="18"/>
                <w:szCs w:val="18"/>
              </w:rPr>
              <w:t>为其他温室气体组分的干扰成分</w:t>
            </w:r>
            <w:r>
              <w:rPr>
                <w:rFonts w:hint="eastAsia" w:ascii="Times New Roman"/>
                <w:sz w:val="18"/>
                <w:szCs w:val="18"/>
                <w:lang w:eastAsia="zh-CN"/>
              </w:rPr>
              <w:t>。</w:t>
            </w:r>
          </w:p>
        </w:tc>
      </w:tr>
    </w:tbl>
    <w:p w14:paraId="3816779A">
      <w:pPr>
        <w:pStyle w:val="109"/>
        <w:ind w:firstLine="0" w:firstLineChars="0"/>
        <w:rPr>
          <w:rFonts w:ascii="Times New Roman" w:hAnsi="Times New Roman"/>
        </w:rPr>
      </w:pPr>
      <w:r>
        <w:rPr>
          <w:rFonts w:hint="eastAsia" w:ascii="黑体" w:hAnsi="黑体" w:eastAsia="黑体" w:cs="黑体"/>
        </w:rPr>
        <w:t>4.7</w:t>
      </w:r>
      <w:r>
        <w:rPr>
          <w:rFonts w:ascii="Times New Roman" w:hAnsi="Times New Roman"/>
        </w:rPr>
        <w:t>环境适应性</w:t>
      </w:r>
    </w:p>
    <w:p w14:paraId="50F731B3">
      <w:pPr>
        <w:pStyle w:val="234"/>
        <w:spacing w:line="312" w:lineRule="auto"/>
        <w:rPr>
          <w:rFonts w:ascii="Times New Roman"/>
        </w:rPr>
      </w:pPr>
      <w:r>
        <w:rPr>
          <w:rFonts w:ascii="Times New Roman"/>
        </w:rPr>
        <w:t>环境温度在5 ℃～40</w:t>
      </w:r>
      <w:bookmarkStart w:id="47" w:name="_Hlk184040021"/>
      <w:r>
        <w:rPr>
          <w:rFonts w:ascii="Times New Roman"/>
        </w:rPr>
        <w:t xml:space="preserve"> ℃</w:t>
      </w:r>
      <w:bookmarkEnd w:id="47"/>
      <w:r>
        <w:rPr>
          <w:rFonts w:ascii="Times New Roman"/>
        </w:rPr>
        <w:t>范围内变化，仪器</w:t>
      </w:r>
      <w:r>
        <w:rPr>
          <w:rFonts w:hint="eastAsia" w:ascii="Times New Roman"/>
          <w:lang w:val="en-US" w:eastAsia="zh-CN"/>
        </w:rPr>
        <w:t>示值</w:t>
      </w:r>
      <w:r>
        <w:rPr>
          <w:rFonts w:ascii="Times New Roman"/>
        </w:rPr>
        <w:t>的变化不超过</w:t>
      </w:r>
      <w:r>
        <w:rPr>
          <w:rFonts w:ascii="Times New Roman"/>
          <w:szCs w:val="21"/>
        </w:rPr>
        <w:t>±5%满量程</w:t>
      </w:r>
      <w:r>
        <w:rPr>
          <w:rFonts w:ascii="Times New Roman"/>
        </w:rPr>
        <w:t>。</w:t>
      </w:r>
    </w:p>
    <w:p w14:paraId="363A894D">
      <w:pPr>
        <w:pStyle w:val="109"/>
        <w:ind w:firstLine="0" w:firstLineChars="0"/>
        <w:rPr>
          <w:rFonts w:ascii="Times New Roman" w:hAnsi="Times New Roman"/>
        </w:rPr>
      </w:pPr>
      <w:r>
        <w:rPr>
          <w:rFonts w:hint="eastAsia" w:ascii="黑体" w:hAnsi="黑体" w:eastAsia="黑体" w:cs="黑体"/>
        </w:rPr>
        <w:t>4.8</w:t>
      </w:r>
      <w:r>
        <w:rPr>
          <w:rFonts w:ascii="Times New Roman" w:hAnsi="Times New Roman"/>
        </w:rPr>
        <w:t>电磁兼容性</w:t>
      </w:r>
    </w:p>
    <w:p w14:paraId="48D530B0">
      <w:pPr>
        <w:pStyle w:val="60"/>
        <w:spacing w:line="312" w:lineRule="auto"/>
        <w:ind w:firstLine="420"/>
        <w:rPr>
          <w:rFonts w:ascii="Times New Roman"/>
        </w:rPr>
      </w:pPr>
      <w:r>
        <w:rPr>
          <w:rFonts w:ascii="Times New Roman"/>
        </w:rPr>
        <w:t>仪器应符合GB/T 18268.1—2010中表2关于静电放电抗扰度、电快速瞬变脉冲群抗扰度、浪涌（冲击）抗扰度等电磁兼容性要求。</w:t>
      </w:r>
    </w:p>
    <w:p w14:paraId="150257A8">
      <w:pPr>
        <w:pStyle w:val="109"/>
        <w:ind w:firstLine="0" w:firstLineChars="0"/>
        <w:rPr>
          <w:rFonts w:ascii="Times New Roman" w:hAnsi="Times New Roman"/>
        </w:rPr>
      </w:pPr>
      <w:r>
        <w:rPr>
          <w:rFonts w:hint="eastAsia" w:ascii="黑体" w:hAnsi="黑体" w:eastAsia="黑体" w:cs="黑体"/>
        </w:rPr>
        <w:t>4.9</w:t>
      </w:r>
      <w:r>
        <w:rPr>
          <w:rFonts w:ascii="Times New Roman" w:hAnsi="Times New Roman"/>
        </w:rPr>
        <w:t>运输、运输贮存</w:t>
      </w:r>
    </w:p>
    <w:p w14:paraId="15E996C9">
      <w:pPr>
        <w:pStyle w:val="234"/>
        <w:spacing w:line="312" w:lineRule="auto"/>
        <w:rPr>
          <w:rFonts w:ascii="Times New Roman"/>
        </w:rPr>
      </w:pPr>
      <w:r>
        <w:rPr>
          <w:rFonts w:ascii="Times New Roman"/>
        </w:rPr>
        <w:t>仪器在运输包装状态下，包括低温贮存、高温贮存、跌落、碰撞、交变湿热，按GB/T 11606-2007表1中运输、运输贮存的要求进行试验。其中，高温55 ℃；低温-40 ℃（带液晶显示器类的仪器-20 ℃）；交变湿热：相对湿度95%、温度55 ℃；倾斜跌落高度250 mm。试验后，包装箱不应有较大的变形和损伤，受伤仪器不应有变形松脱、涂覆层剥落等机械损伤；将仪器置于正常工作条件下进行检验，应符合4.6.1～4.6.6的要求。</w:t>
      </w:r>
    </w:p>
    <w:p w14:paraId="3D4A4CD3">
      <w:pPr>
        <w:pStyle w:val="108"/>
        <w:spacing w:before="240" w:after="240" w:line="312" w:lineRule="auto"/>
        <w:rPr>
          <w:rFonts w:hint="eastAsia" w:ascii="黑体" w:hAnsi="黑体" w:eastAsia="黑体" w:cs="黑体"/>
        </w:rPr>
      </w:pPr>
      <w:r>
        <w:rPr>
          <w:rFonts w:hint="eastAsia" w:ascii="黑体" w:hAnsi="黑体" w:eastAsia="黑体" w:cs="黑体"/>
        </w:rPr>
        <w:t>试验方法</w:t>
      </w:r>
    </w:p>
    <w:p w14:paraId="66721025">
      <w:pPr>
        <w:pStyle w:val="109"/>
        <w:ind w:firstLine="0" w:firstLineChars="0"/>
        <w:rPr>
          <w:rFonts w:hint="eastAsia" w:ascii="黑体" w:hAnsi="黑体" w:eastAsia="黑体" w:cs="黑体"/>
        </w:rPr>
      </w:pPr>
      <w:r>
        <w:rPr>
          <w:rFonts w:hint="eastAsia" w:ascii="黑体" w:hAnsi="黑体" w:eastAsia="黑体" w:cs="黑体"/>
        </w:rPr>
        <w:t>5.1试验条件</w:t>
      </w:r>
    </w:p>
    <w:p w14:paraId="40E23EF2">
      <w:pPr>
        <w:pStyle w:val="236"/>
        <w:numPr>
          <w:ilvl w:val="0"/>
          <w:numId w:val="0"/>
        </w:numPr>
        <w:ind w:left="360" w:hanging="360"/>
        <w:rPr>
          <w:rFonts w:hint="eastAsia" w:ascii="黑体" w:hAnsi="黑体" w:eastAsia="黑体" w:cs="黑体"/>
        </w:rPr>
      </w:pPr>
      <w:r>
        <w:rPr>
          <w:rFonts w:hint="eastAsia" w:ascii="黑体" w:hAnsi="黑体" w:eastAsia="黑体" w:cs="黑体"/>
          <w:szCs w:val="20"/>
        </w:rPr>
        <w:t xml:space="preserve">5.1.1 </w:t>
      </w:r>
      <w:r>
        <w:rPr>
          <w:rFonts w:hint="eastAsia" w:ascii="黑体" w:hAnsi="黑体" w:eastAsia="黑体" w:cs="黑体"/>
        </w:rPr>
        <w:t>试验环境条件</w:t>
      </w:r>
    </w:p>
    <w:p w14:paraId="4295AC25">
      <w:pPr>
        <w:pStyle w:val="240"/>
        <w:numPr>
          <w:ilvl w:val="0"/>
          <w:numId w:val="0"/>
        </w:numPr>
        <w:ind w:left="420"/>
      </w:pPr>
      <w:r>
        <w:t>除非另有规定，仪器应在4.1所规定条件下进行。</w:t>
      </w:r>
    </w:p>
    <w:p w14:paraId="02F9E64E">
      <w:pPr>
        <w:pStyle w:val="236"/>
        <w:numPr>
          <w:ilvl w:val="0"/>
          <w:numId w:val="0"/>
        </w:numPr>
        <w:ind w:left="360" w:hanging="360"/>
        <w:rPr>
          <w:rFonts w:hint="eastAsia" w:ascii="黑体" w:hAnsi="黑体" w:eastAsia="黑体" w:cs="黑体"/>
        </w:rPr>
      </w:pPr>
      <w:r>
        <w:rPr>
          <w:rFonts w:hint="eastAsia" w:ascii="黑体" w:hAnsi="黑体" w:eastAsia="黑体" w:cs="黑体"/>
          <w:szCs w:val="20"/>
        </w:rPr>
        <w:t xml:space="preserve">5.1.2 </w:t>
      </w:r>
      <w:r>
        <w:rPr>
          <w:rFonts w:hint="eastAsia" w:ascii="黑体" w:hAnsi="黑体" w:eastAsia="黑体" w:cs="黑体"/>
        </w:rPr>
        <w:t>试验设备、工具</w:t>
      </w:r>
    </w:p>
    <w:p w14:paraId="4804F02A">
      <w:pPr>
        <w:pStyle w:val="234"/>
        <w:spacing w:line="312" w:lineRule="auto"/>
        <w:rPr>
          <w:rFonts w:ascii="Times New Roman"/>
        </w:rPr>
      </w:pPr>
      <w:r>
        <w:rPr>
          <w:rFonts w:ascii="Times New Roman"/>
        </w:rPr>
        <w:t>试验用设备、工具包括：</w:t>
      </w:r>
    </w:p>
    <w:p w14:paraId="007E4D16">
      <w:pPr>
        <w:pStyle w:val="240"/>
        <w:numPr>
          <w:ilvl w:val="0"/>
          <w:numId w:val="36"/>
        </w:numPr>
      </w:pPr>
      <w:r>
        <w:t>秒表：分度值0.01 s；</w:t>
      </w:r>
    </w:p>
    <w:p w14:paraId="085FF699">
      <w:pPr>
        <w:pStyle w:val="240"/>
        <w:numPr>
          <w:ilvl w:val="0"/>
          <w:numId w:val="36"/>
        </w:numPr>
      </w:pPr>
      <w:r>
        <w:t>多气体动态校准仪：</w:t>
      </w:r>
      <w:r>
        <w:rPr>
          <w:rFonts w:hint="eastAsia"/>
          <w:lang w:val="en-US" w:eastAsia="zh-CN"/>
        </w:rPr>
        <w:t>准确</w:t>
      </w:r>
      <w:r>
        <w:t>度应在1.0%以内</w:t>
      </w:r>
      <w:r>
        <w:rPr>
          <w:rFonts w:hint="eastAsia"/>
          <w:lang w:eastAsia="zh-CN"/>
        </w:rPr>
        <w:t>；</w:t>
      </w:r>
    </w:p>
    <w:p w14:paraId="6484087F">
      <w:pPr>
        <w:pStyle w:val="240"/>
        <w:numPr>
          <w:ilvl w:val="0"/>
          <w:numId w:val="36"/>
        </w:numPr>
      </w:pPr>
      <w:r>
        <w:t>水分发生器</w:t>
      </w:r>
      <w:r>
        <w:rPr>
          <w:rFonts w:hint="eastAsia"/>
          <w:lang w:eastAsia="zh-CN"/>
        </w:rPr>
        <w:t>。</w:t>
      </w:r>
    </w:p>
    <w:p w14:paraId="3846EF54">
      <w:pPr>
        <w:pStyle w:val="236"/>
        <w:numPr>
          <w:ilvl w:val="0"/>
          <w:numId w:val="0"/>
        </w:numPr>
        <w:ind w:left="360" w:hanging="360"/>
        <w:rPr>
          <w:rFonts w:hint="eastAsia" w:ascii="黑体" w:hAnsi="黑体" w:eastAsia="黑体" w:cs="黑体"/>
        </w:rPr>
      </w:pPr>
      <w:r>
        <w:rPr>
          <w:rFonts w:hint="eastAsia" w:ascii="黑体" w:hAnsi="黑体" w:eastAsia="黑体" w:cs="黑体"/>
          <w:szCs w:val="20"/>
        </w:rPr>
        <w:t>5.1.3</w:t>
      </w:r>
      <w:r>
        <w:rPr>
          <w:rFonts w:hint="eastAsia" w:ascii="黑体" w:hAnsi="黑体" w:eastAsia="黑体" w:cs="黑体"/>
        </w:rPr>
        <w:t xml:space="preserve"> 标准物质</w:t>
      </w:r>
    </w:p>
    <w:p w14:paraId="14583CFD">
      <w:pPr>
        <w:pStyle w:val="234"/>
        <w:spacing w:line="312" w:lineRule="auto"/>
        <w:rPr>
          <w:rFonts w:ascii="Times New Roman"/>
        </w:rPr>
      </w:pPr>
      <w:r>
        <w:rPr>
          <w:rFonts w:hint="eastAsia" w:ascii="Times New Roman"/>
          <w:lang w:val="en-US" w:eastAsia="zh-CN"/>
        </w:rPr>
        <w:t>试验</w:t>
      </w:r>
      <w:r>
        <w:rPr>
          <w:rFonts w:ascii="Times New Roman"/>
        </w:rPr>
        <w:t>所用标准物质包括：</w:t>
      </w:r>
    </w:p>
    <w:p w14:paraId="182876BA">
      <w:pPr>
        <w:pStyle w:val="240"/>
        <w:numPr>
          <w:numId w:val="0"/>
        </w:numPr>
        <w:ind w:left="420" w:leftChars="0"/>
      </w:pPr>
      <w:r>
        <w:rPr>
          <w:rFonts w:hint="eastAsia"/>
          <w:lang w:val="en-US" w:eastAsia="zh-CN"/>
        </w:rPr>
        <w:t xml:space="preserve">a) </w:t>
      </w:r>
      <w:r>
        <w:t>氮气：纯度不低于99.999%；</w:t>
      </w:r>
    </w:p>
    <w:p w14:paraId="635F759D">
      <w:pPr>
        <w:pStyle w:val="240"/>
        <w:numPr>
          <w:numId w:val="0"/>
        </w:numPr>
        <w:ind w:left="420" w:leftChars="0"/>
      </w:pPr>
      <w:r>
        <w:rPr>
          <w:rFonts w:hint="eastAsia"/>
          <w:lang w:val="en-US" w:eastAsia="zh-CN"/>
        </w:rPr>
        <w:t xml:space="preserve">b) </w:t>
      </w:r>
      <w:r>
        <w:t>二氧化碳、甲烷、一氧化二氮、六氟化硫、三氟化氮单标标准气体：有证气体标准物质，扩展不确定度不大于2%；</w:t>
      </w:r>
    </w:p>
    <w:p w14:paraId="60300324">
      <w:pPr>
        <w:pStyle w:val="240"/>
        <w:numPr>
          <w:numId w:val="0"/>
        </w:numPr>
        <w:ind w:left="420" w:leftChars="0"/>
      </w:pPr>
      <w:r>
        <w:rPr>
          <w:rFonts w:hint="eastAsia"/>
          <w:lang w:val="en-US" w:eastAsia="zh-CN"/>
        </w:rPr>
        <w:t xml:space="preserve">c) </w:t>
      </w:r>
      <w:r>
        <w:t>干扰气体：有证气体标准物质，扩展不确定度不大于3%。</w:t>
      </w:r>
    </w:p>
    <w:p w14:paraId="2CF566A1">
      <w:pPr>
        <w:pStyle w:val="109"/>
        <w:ind w:firstLine="0" w:firstLineChars="0"/>
        <w:rPr>
          <w:rFonts w:hint="eastAsia" w:ascii="黑体" w:hAnsi="黑体" w:eastAsia="黑体" w:cs="黑体"/>
        </w:rPr>
      </w:pPr>
      <w:r>
        <w:rPr>
          <w:rFonts w:hint="eastAsia" w:ascii="黑体" w:hAnsi="黑体" w:eastAsia="黑体" w:cs="黑体"/>
        </w:rPr>
        <w:t>5.2外观检查</w:t>
      </w:r>
    </w:p>
    <w:p w14:paraId="5D6EED34">
      <w:pPr>
        <w:pStyle w:val="234"/>
        <w:spacing w:line="312" w:lineRule="auto"/>
        <w:rPr>
          <w:rFonts w:ascii="Times New Roman"/>
        </w:rPr>
      </w:pPr>
      <w:r>
        <w:rPr>
          <w:rFonts w:ascii="Times New Roman"/>
        </w:rPr>
        <w:t>目视和手感检查。</w:t>
      </w:r>
    </w:p>
    <w:p w14:paraId="038EBF02">
      <w:pPr>
        <w:pStyle w:val="109"/>
        <w:ind w:firstLine="0" w:firstLineChars="0"/>
        <w:rPr>
          <w:rFonts w:hint="eastAsia" w:ascii="黑体" w:hAnsi="黑体" w:eastAsia="黑体" w:cs="黑体"/>
        </w:rPr>
      </w:pPr>
      <w:r>
        <w:rPr>
          <w:rFonts w:hint="eastAsia" w:ascii="黑体" w:hAnsi="黑体" w:eastAsia="黑体" w:cs="黑体"/>
        </w:rPr>
        <w:t>5.3安全试验</w:t>
      </w:r>
    </w:p>
    <w:p w14:paraId="16425E69">
      <w:pPr>
        <w:pStyle w:val="236"/>
        <w:numPr>
          <w:ilvl w:val="0"/>
          <w:numId w:val="0"/>
        </w:numPr>
        <w:ind w:left="360" w:hanging="360"/>
        <w:rPr>
          <w:rFonts w:hint="eastAsia" w:ascii="黑体" w:hAnsi="黑体" w:eastAsia="黑体" w:cs="黑体"/>
        </w:rPr>
      </w:pPr>
      <w:r>
        <w:rPr>
          <w:rFonts w:hint="eastAsia" w:ascii="黑体" w:hAnsi="黑体" w:eastAsia="黑体" w:cs="黑体"/>
          <w:szCs w:val="20"/>
        </w:rPr>
        <w:t>5.3.1</w:t>
      </w:r>
      <w:r>
        <w:rPr>
          <w:rFonts w:hint="eastAsia" w:ascii="黑体" w:hAnsi="黑体" w:eastAsia="黑体" w:cs="黑体"/>
        </w:rPr>
        <w:t xml:space="preserve"> 绝缘电阻</w:t>
      </w:r>
    </w:p>
    <w:p w14:paraId="0B2C9BD8">
      <w:pPr>
        <w:pStyle w:val="234"/>
        <w:spacing w:line="312" w:lineRule="auto"/>
        <w:rPr>
          <w:rFonts w:ascii="Times New Roman"/>
        </w:rPr>
      </w:pPr>
      <w:r>
        <w:rPr>
          <w:rFonts w:ascii="Times New Roman"/>
        </w:rPr>
        <w:t>仪器电源插头不接入电网，电源开关置于接通位置，用绝缘电阻表在电源插头的相、中联线与地在线之间，施加500 V直流试验电压，稳定5 s后，测量绝缘电阻。</w:t>
      </w:r>
    </w:p>
    <w:p w14:paraId="49635BB3">
      <w:pPr>
        <w:pStyle w:val="236"/>
        <w:numPr>
          <w:ilvl w:val="0"/>
          <w:numId w:val="0"/>
        </w:numPr>
        <w:ind w:left="360" w:hanging="360"/>
        <w:rPr>
          <w:rFonts w:hint="eastAsia" w:ascii="黑体" w:hAnsi="黑体" w:eastAsia="黑体" w:cs="黑体"/>
        </w:rPr>
      </w:pPr>
      <w:r>
        <w:rPr>
          <w:rFonts w:hint="eastAsia" w:ascii="黑体" w:hAnsi="黑体" w:eastAsia="黑体" w:cs="黑体"/>
          <w:szCs w:val="20"/>
        </w:rPr>
        <w:t>5.3.2</w:t>
      </w:r>
      <w:r>
        <w:rPr>
          <w:rFonts w:hint="eastAsia" w:ascii="黑体" w:hAnsi="黑体" w:eastAsia="黑体" w:cs="黑体"/>
        </w:rPr>
        <w:t xml:space="preserve"> 介电强度</w:t>
      </w:r>
    </w:p>
    <w:p w14:paraId="03C1BEA5">
      <w:pPr>
        <w:pStyle w:val="234"/>
        <w:spacing w:line="312" w:lineRule="auto"/>
        <w:rPr>
          <w:rFonts w:ascii="Times New Roman"/>
        </w:rPr>
      </w:pPr>
      <w:r>
        <w:rPr>
          <w:rFonts w:ascii="Times New Roman"/>
        </w:rPr>
        <w:t>按GB/T 34065 — 2017中6.3.3规定方法进行。</w:t>
      </w:r>
    </w:p>
    <w:p w14:paraId="3ABB6089">
      <w:pPr>
        <w:pStyle w:val="236"/>
        <w:numPr>
          <w:ilvl w:val="0"/>
          <w:numId w:val="0"/>
        </w:numPr>
        <w:ind w:left="360" w:hanging="360"/>
        <w:rPr>
          <w:rFonts w:hint="eastAsia" w:ascii="黑体" w:hAnsi="黑体" w:eastAsia="黑体" w:cs="黑体"/>
        </w:rPr>
      </w:pPr>
      <w:r>
        <w:rPr>
          <w:rFonts w:hint="eastAsia" w:ascii="黑体" w:hAnsi="黑体" w:eastAsia="黑体" w:cs="黑体"/>
          <w:szCs w:val="20"/>
        </w:rPr>
        <w:t>5.3.3</w:t>
      </w:r>
      <w:r>
        <w:rPr>
          <w:rFonts w:hint="eastAsia" w:ascii="黑体" w:hAnsi="黑体" w:eastAsia="黑体" w:cs="黑体"/>
        </w:rPr>
        <w:t xml:space="preserve"> 接触电流</w:t>
      </w:r>
    </w:p>
    <w:p w14:paraId="41734222">
      <w:pPr>
        <w:pStyle w:val="234"/>
        <w:spacing w:line="312" w:lineRule="auto"/>
        <w:rPr>
          <w:rFonts w:ascii="Times New Roman"/>
        </w:rPr>
      </w:pPr>
      <w:r>
        <w:rPr>
          <w:rFonts w:ascii="Times New Roman"/>
        </w:rPr>
        <w:t>按GB/T 34065 — 2017中6.2.3规定方法进行。</w:t>
      </w:r>
    </w:p>
    <w:p w14:paraId="7DBCEE6F">
      <w:pPr>
        <w:pStyle w:val="236"/>
        <w:numPr>
          <w:ilvl w:val="0"/>
          <w:numId w:val="0"/>
        </w:numPr>
        <w:ind w:left="360" w:hanging="360"/>
        <w:rPr>
          <w:rFonts w:hint="eastAsia" w:ascii="黑体" w:hAnsi="黑体" w:eastAsia="黑体" w:cs="黑体"/>
        </w:rPr>
      </w:pPr>
      <w:r>
        <w:rPr>
          <w:rFonts w:hint="eastAsia" w:ascii="黑体" w:hAnsi="黑体" w:eastAsia="黑体" w:cs="黑体"/>
          <w:szCs w:val="20"/>
        </w:rPr>
        <w:t>5.3.4</w:t>
      </w:r>
      <w:r>
        <w:rPr>
          <w:rFonts w:hint="eastAsia" w:ascii="黑体" w:hAnsi="黑体" w:eastAsia="黑体" w:cs="黑体"/>
        </w:rPr>
        <w:t xml:space="preserve"> 保护接地</w:t>
      </w:r>
    </w:p>
    <w:p w14:paraId="54142198">
      <w:pPr>
        <w:pStyle w:val="234"/>
        <w:spacing w:line="312" w:lineRule="auto"/>
        <w:rPr>
          <w:rFonts w:ascii="Times New Roman"/>
        </w:rPr>
      </w:pPr>
      <w:r>
        <w:rPr>
          <w:rFonts w:ascii="Times New Roman"/>
        </w:rPr>
        <w:t>按GB/T 34065 — 2017中6.4.3规定方法进行。</w:t>
      </w:r>
    </w:p>
    <w:p w14:paraId="23599512">
      <w:pPr>
        <w:pStyle w:val="109"/>
        <w:ind w:firstLine="0" w:firstLineChars="0"/>
        <w:rPr>
          <w:rFonts w:hint="eastAsia" w:ascii="黑体" w:hAnsi="黑体" w:eastAsia="黑体" w:cs="黑体"/>
        </w:rPr>
      </w:pPr>
      <w:r>
        <w:rPr>
          <w:rFonts w:hint="eastAsia" w:ascii="黑体" w:hAnsi="黑体" w:eastAsia="黑体" w:cs="黑体"/>
        </w:rPr>
        <w:t>5.4气路密封性</w:t>
      </w:r>
    </w:p>
    <w:p w14:paraId="3EB886A4">
      <w:pPr>
        <w:pStyle w:val="234"/>
        <w:spacing w:line="312" w:lineRule="auto"/>
        <w:rPr>
          <w:rFonts w:ascii="Times New Roman"/>
        </w:rPr>
      </w:pPr>
      <w:r>
        <w:rPr>
          <w:rFonts w:ascii="Times New Roman"/>
        </w:rPr>
        <w:t>仪器的密封性试验用空气或氮气进行。</w:t>
      </w:r>
    </w:p>
    <w:p w14:paraId="481216C5">
      <w:pPr>
        <w:pStyle w:val="234"/>
        <w:spacing w:line="312" w:lineRule="auto"/>
        <w:rPr>
          <w:rFonts w:ascii="Times New Roman"/>
        </w:rPr>
      </w:pPr>
      <w:r>
        <w:rPr>
          <w:rFonts w:ascii="Times New Roman"/>
        </w:rPr>
        <w:t>在仪器气路出口端接压力测量装置，在其入口端通气，使气路系统内充气压力不小于仪器额定工作压力的1.5倍。密封气路入口，3 min后开始读数，在外接管道容积不大于0.5 L的条件下，测量15 min内压力降，并按式(1)计算。</w:t>
      </w:r>
    </w:p>
    <w:p w14:paraId="7900718F">
      <w:pPr>
        <w:pStyle w:val="234"/>
        <w:spacing w:line="312" w:lineRule="auto"/>
        <w:rPr>
          <w:rFonts w:ascii="Times New Roman"/>
        </w:rPr>
      </w:pPr>
    </w:p>
    <w:p w14:paraId="21116DAB">
      <w:pPr>
        <w:pStyle w:val="234"/>
        <w:spacing w:line="312" w:lineRule="auto"/>
        <w:jc w:val="right"/>
        <w:rPr>
          <w:rFonts w:ascii="Times New Roman"/>
        </w:rPr>
      </w:pPr>
      <w:r>
        <w:rPr>
          <w:rFonts w:ascii="Times New Roman"/>
          <w:i/>
          <w:position w:val="-30"/>
        </w:rPr>
        <w:object>
          <v:shape id="_x0000_i1025" o:spt="75" type="#_x0000_t75" style="height:34.8pt;width:96.6pt;" o:ole="t" filled="f" o:preferrelative="t" stroked="f" coordsize="21600,21600">
            <v:path/>
            <v:fill on="f" focussize="0,0"/>
            <v:stroke on="f" joinstyle="miter"/>
            <v:imagedata r:id="rId15" o:title=""/>
            <o:lock v:ext="edit" aspectratio="t"/>
            <w10:wrap type="none"/>
            <w10:anchorlock/>
          </v:shape>
          <o:OLEObject Type="Embed" ProgID="Equation.3" ShapeID="_x0000_i1025" DrawAspect="Content" ObjectID="_1468075725" r:id="rId14">
            <o:LockedField>false</o:LockedField>
          </o:OLEObject>
        </w:object>
      </w:r>
      <w:r>
        <w:rPr>
          <w:rFonts w:ascii="Times New Roman"/>
          <w:i/>
        </w:rPr>
        <w:t xml:space="preserve"> </w:t>
      </w:r>
      <w:r>
        <w:rPr>
          <w:rFonts w:ascii="Times New Roman"/>
        </w:rPr>
        <w:t>………………………………… （1）</w:t>
      </w:r>
    </w:p>
    <w:p w14:paraId="34A8F032">
      <w:pPr>
        <w:pStyle w:val="234"/>
        <w:spacing w:line="312" w:lineRule="auto"/>
        <w:rPr>
          <w:rFonts w:ascii="Times New Roman"/>
        </w:rPr>
      </w:pPr>
      <w:r>
        <w:rPr>
          <w:rFonts w:ascii="Times New Roman"/>
        </w:rPr>
        <w:t>式中：</w:t>
      </w:r>
    </w:p>
    <w:p w14:paraId="5013750C">
      <w:pPr>
        <w:pStyle w:val="234"/>
        <w:spacing w:line="312" w:lineRule="auto"/>
        <w:rPr>
          <w:rFonts w:ascii="Times New Roman"/>
        </w:rPr>
      </w:pPr>
      <w:r>
        <w:rPr>
          <w:rFonts w:ascii="Times New Roman"/>
          <w:i/>
          <w:iCs/>
        </w:rPr>
        <w:t>p</w:t>
      </w:r>
      <w:r>
        <w:rPr>
          <w:rFonts w:ascii="Times New Roman"/>
        </w:rPr>
        <w:t>——压力变化率；</w:t>
      </w:r>
    </w:p>
    <w:p w14:paraId="157E20C2">
      <w:pPr>
        <w:pStyle w:val="234"/>
        <w:spacing w:line="312" w:lineRule="auto"/>
        <w:rPr>
          <w:rFonts w:ascii="Times New Roman"/>
        </w:rPr>
      </w:pPr>
      <w:r>
        <w:rPr>
          <w:rFonts w:ascii="Times New Roman"/>
          <w:i/>
          <w:iCs/>
        </w:rPr>
        <w:t>p</w:t>
      </w:r>
      <w:r>
        <w:rPr>
          <w:rFonts w:ascii="Times New Roman"/>
          <w:vertAlign w:val="subscript"/>
        </w:rPr>
        <w:t>1</w:t>
      </w:r>
      <w:r>
        <w:rPr>
          <w:rFonts w:ascii="Times New Roman"/>
        </w:rPr>
        <w:t>——开始的压力值，</w:t>
      </w:r>
      <w:r>
        <w:rPr>
          <w:rFonts w:ascii="Times New Roman"/>
          <w:szCs w:val="21"/>
        </w:rPr>
        <w:t>单位为千帕（</w:t>
      </w:r>
      <w:r>
        <w:rPr>
          <w:rFonts w:ascii="Times New Roman"/>
        </w:rPr>
        <w:t>kPa</w:t>
      </w:r>
      <w:r>
        <w:rPr>
          <w:rFonts w:ascii="Times New Roman"/>
          <w:szCs w:val="21"/>
        </w:rPr>
        <w:t>）</w:t>
      </w:r>
      <w:r>
        <w:rPr>
          <w:rFonts w:ascii="Times New Roman"/>
        </w:rPr>
        <w:t>；</w:t>
      </w:r>
    </w:p>
    <w:p w14:paraId="22BB6C53">
      <w:pPr>
        <w:pStyle w:val="234"/>
        <w:spacing w:line="312" w:lineRule="auto"/>
        <w:rPr>
          <w:rFonts w:ascii="Times New Roman"/>
        </w:rPr>
      </w:pPr>
      <w:r>
        <w:rPr>
          <w:rFonts w:ascii="Times New Roman"/>
          <w:i/>
          <w:iCs/>
        </w:rPr>
        <w:t>p</w:t>
      </w:r>
      <w:r>
        <w:rPr>
          <w:rFonts w:ascii="Times New Roman"/>
          <w:vertAlign w:val="subscript"/>
        </w:rPr>
        <w:t>2</w:t>
      </w:r>
      <w:r>
        <w:rPr>
          <w:rFonts w:ascii="Times New Roman"/>
        </w:rPr>
        <w:t>——15min后的压力值，</w:t>
      </w:r>
      <w:r>
        <w:rPr>
          <w:rFonts w:ascii="Times New Roman"/>
          <w:szCs w:val="21"/>
        </w:rPr>
        <w:t>单位为千帕（</w:t>
      </w:r>
      <w:r>
        <w:rPr>
          <w:rFonts w:ascii="Times New Roman"/>
        </w:rPr>
        <w:t>kPa</w:t>
      </w:r>
      <w:r>
        <w:rPr>
          <w:rFonts w:ascii="Times New Roman"/>
          <w:szCs w:val="21"/>
        </w:rPr>
        <w:t>）</w:t>
      </w:r>
      <w:r>
        <w:rPr>
          <w:rFonts w:ascii="Times New Roman"/>
        </w:rPr>
        <w:t>。</w:t>
      </w:r>
    </w:p>
    <w:p w14:paraId="0B376853">
      <w:pPr>
        <w:pStyle w:val="109"/>
        <w:ind w:firstLine="0" w:firstLineChars="0"/>
        <w:rPr>
          <w:rFonts w:hint="eastAsia" w:ascii="黑体" w:hAnsi="黑体" w:eastAsia="黑体" w:cs="黑体"/>
        </w:rPr>
      </w:pPr>
      <w:r>
        <w:rPr>
          <w:rFonts w:hint="eastAsia" w:ascii="黑体" w:hAnsi="黑体" w:eastAsia="黑体" w:cs="黑体"/>
        </w:rPr>
        <w:t>5.5气室温度稳定性</w:t>
      </w:r>
    </w:p>
    <w:p w14:paraId="67A9E628">
      <w:pPr>
        <w:pStyle w:val="26"/>
        <w:widowControl/>
        <w:spacing w:line="312" w:lineRule="auto"/>
        <w:ind w:firstLine="420"/>
        <w:rPr>
          <w:kern w:val="0"/>
          <w:sz w:val="21"/>
          <w:szCs w:val="21"/>
        </w:rPr>
      </w:pPr>
      <w:r>
        <w:rPr>
          <w:kern w:val="0"/>
          <w:sz w:val="21"/>
          <w:szCs w:val="21"/>
        </w:rPr>
        <w:t>气室温度达到设置值并稳定至少10min后，开始试验，每分钟记录一次气室温度平均值，记录10次，按公式（2）计算温度稳定性</w:t>
      </w:r>
      <w:r>
        <w:rPr>
          <w:i/>
          <w:kern w:val="0"/>
          <w:sz w:val="21"/>
          <w:szCs w:val="21"/>
        </w:rPr>
        <w:t>δt</w:t>
      </w:r>
      <w:r>
        <w:rPr>
          <w:kern w:val="0"/>
          <w:sz w:val="21"/>
          <w:szCs w:val="21"/>
        </w:rPr>
        <w:t>。</w:t>
      </w:r>
    </w:p>
    <w:p w14:paraId="7BEF7A99">
      <w:pPr>
        <w:pStyle w:val="26"/>
        <w:widowControl/>
        <w:spacing w:line="312" w:lineRule="auto"/>
        <w:ind w:firstLine="420"/>
        <w:jc w:val="right"/>
        <w:rPr>
          <w:kern w:val="0"/>
          <w:sz w:val="21"/>
          <w:szCs w:val="21"/>
        </w:rPr>
      </w:pPr>
      <w:r>
        <w:rPr>
          <w:kern w:val="0"/>
          <w:position w:val="-12"/>
          <w:sz w:val="21"/>
          <w:szCs w:val="21"/>
        </w:rPr>
        <w:object>
          <v:shape id="_x0000_i1026" o:spt="75" type="#_x0000_t75" style="height:18pt;width:66.6pt;" o:ole="t" filled="f" o:preferrelative="t" stroked="f" coordsize="21600,21600">
            <v:path/>
            <v:fill on="f" focussize="0,0"/>
            <v:stroke on="f" joinstyle="miter"/>
            <v:imagedata r:id="rId17" o:title=""/>
            <o:lock v:ext="edit" aspectratio="t"/>
            <w10:wrap type="none"/>
            <w10:anchorlock/>
          </v:shape>
          <o:OLEObject Type="Embed" ProgID="Equation.3" ShapeID="_x0000_i1026" DrawAspect="Content" ObjectID="_1468075726" r:id="rId16">
            <o:LockedField>false</o:LockedField>
          </o:OLEObject>
        </w:object>
      </w:r>
      <w:r>
        <w:t>………………………………… （2）</w:t>
      </w:r>
    </w:p>
    <w:p w14:paraId="2D3F3944">
      <w:pPr>
        <w:pStyle w:val="26"/>
        <w:widowControl/>
        <w:spacing w:line="312" w:lineRule="auto"/>
        <w:ind w:firstLine="420"/>
        <w:rPr>
          <w:sz w:val="21"/>
          <w:szCs w:val="21"/>
        </w:rPr>
      </w:pPr>
      <w:r>
        <w:rPr>
          <w:kern w:val="0"/>
          <w:sz w:val="21"/>
          <w:szCs w:val="21"/>
        </w:rPr>
        <w:t>式中：</w:t>
      </w:r>
    </w:p>
    <w:p w14:paraId="6D84BEF1">
      <w:pPr>
        <w:pStyle w:val="26"/>
        <w:widowControl/>
        <w:spacing w:line="312" w:lineRule="auto"/>
        <w:ind w:firstLine="420"/>
        <w:rPr>
          <w:sz w:val="21"/>
          <w:szCs w:val="21"/>
        </w:rPr>
      </w:pPr>
      <w:r>
        <w:rPr>
          <w:i/>
          <w:kern w:val="0"/>
          <w:sz w:val="21"/>
          <w:szCs w:val="21"/>
        </w:rPr>
        <w:t xml:space="preserve">δt </w:t>
      </w:r>
      <w:r>
        <w:rPr>
          <w:kern w:val="0"/>
          <w:sz w:val="21"/>
          <w:szCs w:val="21"/>
        </w:rPr>
        <w:t>—— 温度稳定性，单位为摄氏度（℃）；</w:t>
      </w:r>
    </w:p>
    <w:p w14:paraId="189E0A35">
      <w:pPr>
        <w:pStyle w:val="26"/>
        <w:widowControl/>
        <w:spacing w:line="312" w:lineRule="auto"/>
        <w:ind w:firstLine="420"/>
        <w:rPr>
          <w:kern w:val="0"/>
          <w:sz w:val="21"/>
          <w:szCs w:val="21"/>
        </w:rPr>
      </w:pPr>
      <w:r>
        <w:rPr>
          <w:i/>
          <w:kern w:val="0"/>
          <w:sz w:val="21"/>
          <w:szCs w:val="21"/>
        </w:rPr>
        <w:t>t</w:t>
      </w:r>
      <w:r>
        <w:rPr>
          <w:kern w:val="0"/>
          <w:sz w:val="21"/>
          <w:szCs w:val="21"/>
          <w:vertAlign w:val="subscript"/>
        </w:rPr>
        <w:t>i</w:t>
      </w:r>
      <w:r>
        <w:rPr>
          <w:kern w:val="0"/>
          <w:sz w:val="21"/>
          <w:szCs w:val="21"/>
        </w:rPr>
        <w:t xml:space="preserve"> —— 第i次记录温度值，单位为摄氏度（℃）；</w:t>
      </w:r>
    </w:p>
    <w:p w14:paraId="01FA410A">
      <w:pPr>
        <w:pStyle w:val="26"/>
        <w:widowControl/>
        <w:spacing w:line="312" w:lineRule="auto"/>
        <w:ind w:firstLine="420"/>
        <w:rPr>
          <w:kern w:val="0"/>
          <w:sz w:val="21"/>
          <w:szCs w:val="21"/>
        </w:rPr>
      </w:pPr>
      <w:r>
        <w:rPr>
          <w:kern w:val="0"/>
          <w:position w:val="-6"/>
          <w:sz w:val="21"/>
          <w:szCs w:val="21"/>
        </w:rPr>
        <w:object>
          <v:shape id="_x0000_i1027" o:spt="75" type="#_x0000_t75" style="height:15.6pt;width:7.8pt;" o:ole="t" filled="f" o:preferrelative="t" stroked="f" coordsize="21600,21600">
            <v:path/>
            <v:fill on="f" focussize="0,0"/>
            <v:stroke on="f" joinstyle="miter"/>
            <v:imagedata r:id="rId19" o:title=""/>
            <o:lock v:ext="edit" aspectratio="t"/>
            <w10:wrap type="none"/>
            <w10:anchorlock/>
          </v:shape>
          <o:OLEObject Type="Embed" ProgID="Equation.3" ShapeID="_x0000_i1027" DrawAspect="Content" ObjectID="_1468075727" r:id="rId18">
            <o:LockedField>false</o:LockedField>
          </o:OLEObject>
        </w:object>
      </w:r>
      <w:r>
        <w:rPr>
          <w:kern w:val="0"/>
          <w:sz w:val="21"/>
          <w:szCs w:val="21"/>
        </w:rPr>
        <w:t>—— 10次记录的温度平均值，单位为摄氏度（℃）。</w:t>
      </w:r>
    </w:p>
    <w:p w14:paraId="789DCF6E">
      <w:pPr>
        <w:pStyle w:val="109"/>
        <w:ind w:firstLine="0" w:firstLineChars="0"/>
        <w:rPr>
          <w:rFonts w:hint="eastAsia" w:ascii="黑体" w:hAnsi="黑体" w:eastAsia="黑体" w:cs="黑体"/>
        </w:rPr>
      </w:pPr>
      <w:r>
        <w:rPr>
          <w:rFonts w:hint="eastAsia" w:ascii="黑体" w:hAnsi="黑体" w:eastAsia="黑体" w:cs="黑体"/>
        </w:rPr>
        <w:t>5.6性能试验</w:t>
      </w:r>
    </w:p>
    <w:p w14:paraId="592BB502">
      <w:pPr>
        <w:pStyle w:val="238"/>
        <w:numPr>
          <w:ilvl w:val="2"/>
          <w:numId w:val="37"/>
        </w:numPr>
        <w:spacing w:before="120" w:after="120"/>
        <w:rPr>
          <w:rFonts w:ascii="Times New Roman" w:hAnsi="Times New Roman"/>
        </w:rPr>
      </w:pPr>
      <w:r>
        <w:rPr>
          <w:rFonts w:ascii="Times New Roman" w:hAnsi="Times New Roman"/>
        </w:rPr>
        <w:t>试验前准备</w:t>
      </w:r>
    </w:p>
    <w:p w14:paraId="7CCBFCD8">
      <w:pPr>
        <w:pStyle w:val="238"/>
        <w:numPr>
          <w:ilvl w:val="255"/>
          <w:numId w:val="0"/>
        </w:numPr>
        <w:spacing w:before="120" w:after="120"/>
        <w:ind w:firstLine="420" w:firstLineChars="200"/>
        <w:outlineLvl w:val="9"/>
        <w:rPr>
          <w:rFonts w:ascii="Times New Roman" w:hAnsi="Times New Roman" w:eastAsia="宋体"/>
          <w:kern w:val="2"/>
        </w:rPr>
      </w:pPr>
      <w:r>
        <w:rPr>
          <w:rFonts w:ascii="Times New Roman" w:hAnsi="Times New Roman" w:eastAsia="宋体"/>
          <w:kern w:val="2"/>
        </w:rPr>
        <w:t>试验前完成仪器预热，运行稳定后根据仪器测量组分及量程进行零点校准和量程校准。</w:t>
      </w:r>
    </w:p>
    <w:p w14:paraId="38AFD29F">
      <w:pPr>
        <w:pStyle w:val="238"/>
        <w:numPr>
          <w:ilvl w:val="2"/>
          <w:numId w:val="37"/>
        </w:numPr>
        <w:spacing w:before="120" w:after="120"/>
        <w:rPr>
          <w:rFonts w:ascii="Times New Roman" w:hAnsi="Times New Roman"/>
        </w:rPr>
      </w:pPr>
      <w:r>
        <w:rPr>
          <w:rFonts w:ascii="Times New Roman" w:hAnsi="Times New Roman"/>
        </w:rPr>
        <w:t>检出限</w:t>
      </w:r>
    </w:p>
    <w:p w14:paraId="4C2FE3D2">
      <w:pPr>
        <w:spacing w:line="312" w:lineRule="auto"/>
        <w:ind w:firstLine="420"/>
        <w:rPr>
          <w:rFonts w:ascii="Times New Roman" w:hAnsi="Times New Roman"/>
        </w:rPr>
      </w:pPr>
      <w:r>
        <w:rPr>
          <w:rFonts w:ascii="Times New Roman" w:hAnsi="Times New Roman"/>
        </w:rPr>
        <w:t>通入零点气体或检出限附近的低浓度气体，待读数稳定后</w:t>
      </w:r>
      <w:r>
        <w:rPr>
          <w:rFonts w:ascii="Times New Roman" w:hAnsi="Times New Roman"/>
          <w:kern w:val="0"/>
        </w:rPr>
        <w:t>每分钟记录一个</w:t>
      </w:r>
      <w:r>
        <w:rPr>
          <w:rFonts w:ascii="Times New Roman" w:hAnsi="Times New Roman"/>
        </w:rPr>
        <w:t>浓度平均值</w:t>
      </w:r>
      <w:r>
        <w:rPr>
          <w:rFonts w:ascii="Times New Roman" w:hAnsi="Times New Roman"/>
          <w:i/>
          <w:iCs/>
        </w:rPr>
        <w:t>C</w:t>
      </w:r>
      <w:r>
        <w:rPr>
          <w:rFonts w:ascii="Times New Roman" w:hAnsi="Times New Roman"/>
          <w:i/>
          <w:iCs/>
          <w:vertAlign w:val="subscript"/>
        </w:rPr>
        <w:t>i</w:t>
      </w:r>
      <w:r>
        <w:rPr>
          <w:rFonts w:ascii="Times New Roman" w:hAnsi="Times New Roman"/>
        </w:rPr>
        <w:t>，获得7个数据，按公式（3）计算所取得数据的标准偏差</w:t>
      </w:r>
      <w:r>
        <w:rPr>
          <w:rFonts w:ascii="Times New Roman" w:hAnsi="Times New Roman"/>
          <w:i/>
          <w:iCs/>
        </w:rPr>
        <w:t>S</w:t>
      </w:r>
      <w:r>
        <w:rPr>
          <w:rFonts w:ascii="Times New Roman" w:hAnsi="Times New Roman"/>
          <w:vertAlign w:val="subscript"/>
        </w:rPr>
        <w:t>0</w:t>
      </w:r>
      <w:r>
        <w:rPr>
          <w:rFonts w:ascii="Times New Roman" w:hAnsi="Times New Roman"/>
        </w:rPr>
        <w:t>，以</w:t>
      </w:r>
      <w:r>
        <w:rPr>
          <w:rFonts w:ascii="Times New Roman" w:hAnsi="Times New Roman"/>
          <w:i/>
          <w:iCs/>
        </w:rPr>
        <w:t>S</w:t>
      </w:r>
      <w:r>
        <w:rPr>
          <w:rFonts w:ascii="Times New Roman" w:hAnsi="Times New Roman"/>
          <w:vertAlign w:val="subscript"/>
        </w:rPr>
        <w:t>0</w:t>
      </w:r>
      <w:r>
        <w:rPr>
          <w:rFonts w:ascii="Times New Roman" w:hAnsi="Times New Roman"/>
        </w:rPr>
        <w:t>记为仪器的零点噪声。</w:t>
      </w:r>
    </w:p>
    <w:p w14:paraId="6443C2C2">
      <w:pPr>
        <w:spacing w:line="312" w:lineRule="auto"/>
        <w:ind w:firstLine="420"/>
        <w:rPr>
          <w:rFonts w:ascii="Times New Roman" w:hAnsi="Times New Roman"/>
        </w:rPr>
      </w:pPr>
    </w:p>
    <w:p w14:paraId="169373A8">
      <w:pPr>
        <w:spacing w:line="312" w:lineRule="auto"/>
        <w:jc w:val="right"/>
        <w:rPr>
          <w:rFonts w:ascii="Times New Roman" w:hAnsi="Times New Roman"/>
        </w:rPr>
      </w:pPr>
      <w:r>
        <w:rPr>
          <w:rFonts w:ascii="Times New Roman" w:hAnsi="Times New Roman"/>
          <w:position w:val="-30"/>
        </w:rPr>
        <w:object>
          <v:shape id="_x0000_i1028" o:spt="75" type="#_x0000_t75" style="height:38.4pt;width:115.8pt;" o:ole="t" filled="f" o:preferrelative="t" stroked="f" coordsize="21600,21600">
            <v:path/>
            <v:fill on="f" focussize="0,0"/>
            <v:stroke on="f" joinstyle="miter"/>
            <v:imagedata r:id="rId21" o:title=""/>
            <o:lock v:ext="edit" aspectratio="t"/>
            <w10:wrap type="none"/>
            <w10:anchorlock/>
          </v:shape>
          <o:OLEObject Type="Embed" ProgID="Equation.3" ShapeID="_x0000_i1028" DrawAspect="Content" ObjectID="_1468075728" r:id="rId20">
            <o:LockedField>false</o:LockedField>
          </o:OLEObject>
        </w:object>
      </w:r>
      <w:r>
        <w:rPr>
          <w:rFonts w:ascii="Times New Roman" w:hAnsi="Times New Roman"/>
        </w:rPr>
        <w:t>………………………………… （3）</w:t>
      </w:r>
    </w:p>
    <w:p w14:paraId="31C8AC14">
      <w:pPr>
        <w:spacing w:line="312" w:lineRule="auto"/>
        <w:ind w:firstLine="420" w:firstLineChars="200"/>
        <w:rPr>
          <w:rFonts w:ascii="Times New Roman" w:hAnsi="Times New Roman"/>
        </w:rPr>
      </w:pPr>
      <w:r>
        <w:rPr>
          <w:rFonts w:ascii="Times New Roman" w:hAnsi="Times New Roman"/>
        </w:rPr>
        <w:t>式中：</w:t>
      </w:r>
    </w:p>
    <w:p w14:paraId="7A7E5002">
      <w:pPr>
        <w:spacing w:line="312" w:lineRule="auto"/>
        <w:ind w:firstLine="420" w:firstLineChars="200"/>
        <w:rPr>
          <w:rFonts w:ascii="Times New Roman" w:hAnsi="Times New Roman"/>
        </w:rPr>
      </w:pPr>
      <w:r>
        <w:rPr>
          <w:rFonts w:ascii="Times New Roman" w:hAnsi="Times New Roman"/>
          <w:i/>
        </w:rPr>
        <w:t>S</w:t>
      </w:r>
      <w:r>
        <w:rPr>
          <w:rFonts w:ascii="Times New Roman" w:hAnsi="Times New Roman"/>
          <w:vertAlign w:val="subscript"/>
        </w:rPr>
        <w:t>0m</w:t>
      </w:r>
      <w:r>
        <w:rPr>
          <w:rFonts w:ascii="Times New Roman" w:hAnsi="Times New Roman"/>
        </w:rPr>
        <w:t>——仪器某测量组分零点噪声，</w:t>
      </w:r>
      <w:bookmarkStart w:id="48" w:name="_Hlk184040446"/>
      <w:r>
        <w:rPr>
          <w:rFonts w:ascii="Times New Roman" w:hAnsi="Times New Roman"/>
          <w:kern w:val="0"/>
        </w:rPr>
        <w:t>单位为微摩尔每摩尔或毫克每立方米</w:t>
      </w:r>
      <w:bookmarkEnd w:id="48"/>
      <w:bookmarkStart w:id="49" w:name="_Hlk184040454"/>
      <w:r>
        <w:rPr>
          <w:rFonts w:ascii="Times New Roman" w:hAnsi="Times New Roman"/>
          <w:kern w:val="0"/>
        </w:rPr>
        <w:t>或百分含量（</w:t>
      </w:r>
      <w:r>
        <w:rPr>
          <w:rFonts w:ascii="Times New Roman" w:hAnsi="Times New Roman"/>
        </w:rPr>
        <w:t>μmol/mol、mg/m</w:t>
      </w:r>
      <w:r>
        <w:rPr>
          <w:rFonts w:ascii="Times New Roman" w:hAnsi="Times New Roman"/>
          <w:vertAlign w:val="superscript"/>
        </w:rPr>
        <w:t>3</w:t>
      </w:r>
      <w:r>
        <w:rPr>
          <w:rFonts w:ascii="Times New Roman" w:hAnsi="Times New Roman"/>
        </w:rPr>
        <w:t>或%）</w:t>
      </w:r>
      <w:bookmarkEnd w:id="49"/>
      <w:r>
        <w:rPr>
          <w:rFonts w:ascii="Times New Roman" w:hAnsi="Times New Roman"/>
        </w:rPr>
        <w:t>；</w:t>
      </w:r>
    </w:p>
    <w:p w14:paraId="5AD04746">
      <w:pPr>
        <w:spacing w:line="312" w:lineRule="auto"/>
        <w:ind w:firstLine="420" w:firstLineChars="200"/>
        <w:rPr>
          <w:rFonts w:ascii="Times New Roman" w:hAnsi="Times New Roman"/>
        </w:rPr>
      </w:pPr>
      <w:r>
        <w:rPr>
          <w:rFonts w:ascii="Times New Roman" w:hAnsi="Times New Roman"/>
          <w:i/>
        </w:rPr>
        <w:t>C</w:t>
      </w:r>
      <w:r>
        <w:rPr>
          <w:rFonts w:ascii="Times New Roman" w:hAnsi="Times New Roman"/>
          <w:iCs/>
          <w:vertAlign w:val="subscript"/>
        </w:rPr>
        <w:t>im</w:t>
      </w:r>
      <w:r>
        <w:rPr>
          <w:rFonts w:ascii="Times New Roman" w:hAnsi="Times New Roman"/>
        </w:rPr>
        <w:t>——某测量组分第i次获得浓度数据，</w:t>
      </w:r>
      <w:bookmarkStart w:id="50" w:name="_Hlk184040467"/>
      <w:r>
        <w:rPr>
          <w:rFonts w:ascii="Times New Roman" w:hAnsi="Times New Roman"/>
          <w:kern w:val="0"/>
        </w:rPr>
        <w:t>单位为微摩尔每摩尔或毫克每立方米</w:t>
      </w:r>
      <w:bookmarkEnd w:id="50"/>
      <w:r>
        <w:rPr>
          <w:rFonts w:ascii="Times New Roman" w:hAnsi="Times New Roman"/>
          <w:kern w:val="0"/>
        </w:rPr>
        <w:t>或百分含量（</w:t>
      </w:r>
      <w:r>
        <w:rPr>
          <w:rFonts w:ascii="Times New Roman" w:hAnsi="Times New Roman"/>
        </w:rPr>
        <w:t>μmol/mol、mg/m</w:t>
      </w:r>
      <w:r>
        <w:rPr>
          <w:rFonts w:ascii="Times New Roman" w:hAnsi="Times New Roman"/>
          <w:vertAlign w:val="superscript"/>
        </w:rPr>
        <w:t>3</w:t>
      </w:r>
      <w:r>
        <w:rPr>
          <w:rFonts w:ascii="Times New Roman" w:hAnsi="Times New Roman"/>
        </w:rPr>
        <w:t>或%）；</w:t>
      </w:r>
    </w:p>
    <w:p w14:paraId="034B2DA9">
      <w:pPr>
        <w:spacing w:line="312" w:lineRule="auto"/>
        <w:ind w:firstLine="420" w:firstLineChars="200"/>
        <w:rPr>
          <w:rFonts w:ascii="Times New Roman" w:hAnsi="Times New Roman"/>
          <w:vertAlign w:val="superscript"/>
        </w:rPr>
      </w:pPr>
      <w:r>
        <w:rPr>
          <w:rFonts w:ascii="Times New Roman" w:hAnsi="Times New Roman"/>
          <w:position w:val="-6"/>
        </w:rPr>
        <w:object>
          <v:shape id="_x0000_i1029" o:spt="75" type="#_x0000_t75" style="height:16.8pt;width:18pt;" o:ole="t" filled="f" o:preferrelative="t" stroked="f" coordsize="21600,21600">
            <v:path/>
            <v:fill on="f" focussize="0,0"/>
            <v:stroke on="f" joinstyle="miter"/>
            <v:imagedata r:id="rId23" o:title=""/>
            <o:lock v:ext="edit" aspectratio="t"/>
            <w10:wrap type="none"/>
            <w10:anchorlock/>
          </v:shape>
          <o:OLEObject Type="Embed" ProgID="Equation.3" ShapeID="_x0000_i1029" DrawAspect="Content" ObjectID="_1468075729" r:id="rId22">
            <o:LockedField>false</o:LockedField>
          </o:OLEObject>
        </w:object>
      </w:r>
      <w:r>
        <w:rPr>
          <w:rFonts w:ascii="Times New Roman" w:hAnsi="Times New Roman"/>
        </w:rPr>
        <w:t>——某测量组分n次获得浓度数据的平均值，</w:t>
      </w:r>
      <w:bookmarkStart w:id="51" w:name="_Hlk184040527"/>
      <w:r>
        <w:rPr>
          <w:rFonts w:ascii="Times New Roman" w:hAnsi="Times New Roman"/>
          <w:kern w:val="0"/>
        </w:rPr>
        <w:t>单位为微摩尔每摩尔或毫克每立方米或百分含量</w:t>
      </w:r>
      <w:r>
        <w:rPr>
          <w:rFonts w:ascii="Times New Roman" w:hAnsi="Times New Roman"/>
        </w:rPr>
        <w:t>（μmol/mol、mg/m</w:t>
      </w:r>
      <w:r>
        <w:rPr>
          <w:rFonts w:ascii="Times New Roman" w:hAnsi="Times New Roman"/>
          <w:vertAlign w:val="superscript"/>
        </w:rPr>
        <w:t>3</w:t>
      </w:r>
      <w:r>
        <w:rPr>
          <w:rFonts w:ascii="Times New Roman" w:hAnsi="Times New Roman"/>
        </w:rPr>
        <w:t>或%）</w:t>
      </w:r>
      <w:bookmarkEnd w:id="51"/>
      <w:r>
        <w:rPr>
          <w:rFonts w:ascii="Times New Roman" w:hAnsi="Times New Roman"/>
        </w:rPr>
        <w:t>；</w:t>
      </w:r>
    </w:p>
    <w:p w14:paraId="76236F14">
      <w:pPr>
        <w:spacing w:line="312" w:lineRule="auto"/>
        <w:ind w:firstLine="420" w:firstLineChars="200"/>
        <w:rPr>
          <w:rFonts w:ascii="Times New Roman" w:hAnsi="Times New Roman"/>
        </w:rPr>
      </w:pPr>
      <w:r>
        <w:rPr>
          <w:rFonts w:ascii="Times New Roman" w:hAnsi="Times New Roman"/>
          <w:i/>
        </w:rPr>
        <w:t>i</w:t>
      </w:r>
      <w:r>
        <w:rPr>
          <w:rFonts w:ascii="Times New Roman" w:hAnsi="Times New Roman"/>
        </w:rPr>
        <w:t>——记录数据的序号（i=1～7）；</w:t>
      </w:r>
    </w:p>
    <w:p w14:paraId="4869456F">
      <w:pPr>
        <w:spacing w:line="312" w:lineRule="auto"/>
        <w:ind w:firstLine="420" w:firstLineChars="200"/>
        <w:rPr>
          <w:rFonts w:ascii="Times New Roman" w:hAnsi="Times New Roman"/>
        </w:rPr>
      </w:pPr>
      <w:r>
        <w:rPr>
          <w:rFonts w:ascii="Times New Roman" w:hAnsi="Times New Roman"/>
          <w:i/>
        </w:rPr>
        <w:t>n</w:t>
      </w:r>
      <w:r>
        <w:rPr>
          <w:rFonts w:ascii="Times New Roman" w:hAnsi="Times New Roman"/>
        </w:rPr>
        <w:t>——记录数据的总个数（n=7）。</w:t>
      </w:r>
    </w:p>
    <w:p w14:paraId="099984C6">
      <w:pPr>
        <w:spacing w:line="312" w:lineRule="auto"/>
        <w:ind w:firstLine="420" w:firstLineChars="200"/>
        <w:rPr>
          <w:rFonts w:ascii="Times New Roman" w:hAnsi="Times New Roman"/>
        </w:rPr>
      </w:pPr>
      <w:r>
        <w:rPr>
          <w:rFonts w:ascii="Times New Roman" w:hAnsi="Times New Roman"/>
        </w:rPr>
        <w:t>按公式（4）计算检出限。</w:t>
      </w:r>
    </w:p>
    <w:p w14:paraId="6187646A">
      <w:pPr>
        <w:spacing w:line="312" w:lineRule="auto"/>
        <w:ind w:firstLine="420" w:firstLineChars="200"/>
        <w:jc w:val="right"/>
        <w:rPr>
          <w:rFonts w:ascii="Times New Roman" w:hAnsi="Times New Roman"/>
        </w:rPr>
      </w:pPr>
      <w:r>
        <w:rPr>
          <w:rFonts w:ascii="Times New Roman" w:hAnsi="Times New Roman"/>
          <w:position w:val="-30"/>
        </w:rPr>
        <w:object>
          <v:shape id="_x0000_i1030" o:spt="75" type="#_x0000_t75" style="height:34.2pt;width:123pt;" o:ole="t" filled="f" o:preferrelative="t" stroked="f" coordsize="21600,21600">
            <v:path/>
            <v:fill on="f" focussize="0,0"/>
            <v:stroke on="f" joinstyle="miter"/>
            <v:imagedata r:id="rId25" o:title=""/>
            <o:lock v:ext="edit" aspectratio="t"/>
            <w10:wrap type="none"/>
            <w10:anchorlock/>
          </v:shape>
          <o:OLEObject Type="Embed" ProgID="Equation.3" ShapeID="_x0000_i1030" DrawAspect="Content" ObjectID="_1468075730" r:id="rId24">
            <o:LockedField>false</o:LockedField>
          </o:OLEObject>
        </w:object>
      </w:r>
      <w:r>
        <w:rPr>
          <w:rFonts w:ascii="Times New Roman" w:hAnsi="Times New Roman"/>
        </w:rPr>
        <w:t>……………………………………… （4）</w:t>
      </w:r>
    </w:p>
    <w:p w14:paraId="22241119">
      <w:pPr>
        <w:spacing w:line="312" w:lineRule="auto"/>
        <w:ind w:firstLine="420" w:firstLineChars="200"/>
        <w:rPr>
          <w:rFonts w:ascii="Times New Roman" w:hAnsi="Times New Roman"/>
        </w:rPr>
      </w:pPr>
      <w:r>
        <w:rPr>
          <w:rFonts w:ascii="Times New Roman" w:hAnsi="Times New Roman"/>
        </w:rPr>
        <w:t>式中：</w:t>
      </w:r>
    </w:p>
    <w:p w14:paraId="5CB0B6B6">
      <w:pPr>
        <w:spacing w:line="312" w:lineRule="auto"/>
        <w:rPr>
          <w:rFonts w:ascii="Times New Roman" w:hAnsi="Times New Roman"/>
        </w:rPr>
      </w:pPr>
      <w:r>
        <w:rPr>
          <w:rFonts w:ascii="Times New Roman" w:hAnsi="Times New Roman"/>
        </w:rPr>
        <w:t xml:space="preserve">    </w:t>
      </w:r>
      <w:r>
        <w:rPr>
          <w:rFonts w:ascii="Times New Roman" w:hAnsi="Times New Roman"/>
          <w:i/>
          <w:iCs/>
        </w:rPr>
        <w:t xml:space="preserve"> R</w:t>
      </w:r>
      <w:r>
        <w:rPr>
          <w:rFonts w:ascii="Times New Roman" w:hAnsi="Times New Roman"/>
          <w:vertAlign w:val="subscript"/>
        </w:rPr>
        <w:t>DLm</w:t>
      </w:r>
      <w:r>
        <w:rPr>
          <w:rFonts w:ascii="Times New Roman" w:hAnsi="Times New Roman"/>
        </w:rPr>
        <w:t>——仪器某测量组分检出限，</w:t>
      </w:r>
      <w:r>
        <w:rPr>
          <w:rFonts w:ascii="Times New Roman" w:hAnsi="Times New Roman"/>
          <w:kern w:val="0"/>
        </w:rPr>
        <w:t>用满量程的百分比表示</w:t>
      </w:r>
      <w:r>
        <w:rPr>
          <w:rFonts w:ascii="Times New Roman" w:hAnsi="Times New Roman"/>
        </w:rPr>
        <w:t>；</w:t>
      </w:r>
    </w:p>
    <w:p w14:paraId="025E3AAA">
      <w:pPr>
        <w:spacing w:line="312" w:lineRule="auto"/>
        <w:ind w:firstLine="525" w:firstLineChars="250"/>
        <w:rPr>
          <w:rFonts w:ascii="Times New Roman" w:hAnsi="Times New Roman"/>
        </w:rPr>
      </w:pPr>
      <w:r>
        <w:rPr>
          <w:rFonts w:ascii="Times New Roman" w:hAnsi="Times New Roman"/>
          <w:i/>
        </w:rPr>
        <w:t>S</w:t>
      </w:r>
      <w:r>
        <w:rPr>
          <w:rFonts w:ascii="Times New Roman" w:hAnsi="Times New Roman"/>
          <w:vertAlign w:val="subscript"/>
        </w:rPr>
        <w:t>0m</w:t>
      </w:r>
      <w:r>
        <w:rPr>
          <w:rFonts w:ascii="Times New Roman" w:hAnsi="Times New Roman"/>
        </w:rPr>
        <w:t>——仪器某测量组分零点噪声值，</w:t>
      </w:r>
      <w:r>
        <w:rPr>
          <w:rFonts w:ascii="Times New Roman" w:hAnsi="Times New Roman"/>
          <w:kern w:val="0"/>
        </w:rPr>
        <w:t>单位为微摩尔每摩尔或毫克每立方米或百分含量</w:t>
      </w:r>
      <w:r>
        <w:rPr>
          <w:rFonts w:ascii="Times New Roman" w:hAnsi="Times New Roman"/>
        </w:rPr>
        <w:t>（μmol/mol、mg/m</w:t>
      </w:r>
      <w:r>
        <w:rPr>
          <w:rFonts w:ascii="Times New Roman" w:hAnsi="Times New Roman"/>
          <w:vertAlign w:val="superscript"/>
        </w:rPr>
        <w:t>3</w:t>
      </w:r>
      <w:r>
        <w:rPr>
          <w:rFonts w:ascii="Times New Roman" w:hAnsi="Times New Roman"/>
        </w:rPr>
        <w:t>或%）；</w:t>
      </w:r>
    </w:p>
    <w:p w14:paraId="73FD375D">
      <w:pPr>
        <w:spacing w:line="312" w:lineRule="auto"/>
        <w:ind w:firstLine="525" w:firstLineChars="250"/>
        <w:rPr>
          <w:rFonts w:ascii="Times New Roman" w:hAnsi="Times New Roman"/>
        </w:rPr>
      </w:pPr>
      <w:r>
        <w:rPr>
          <w:rFonts w:ascii="Times New Roman" w:hAnsi="Times New Roman"/>
          <w:i/>
        </w:rPr>
        <w:t>R</w:t>
      </w:r>
      <w:r>
        <w:rPr>
          <w:rFonts w:ascii="Times New Roman" w:hAnsi="Times New Roman"/>
          <w:iCs/>
          <w:vertAlign w:val="subscript"/>
        </w:rPr>
        <w:t>m</w:t>
      </w:r>
      <w:r>
        <w:rPr>
          <w:rFonts w:ascii="Times New Roman" w:hAnsi="Times New Roman"/>
        </w:rPr>
        <w:t>——仪器某测量组分满量程值，</w:t>
      </w:r>
      <w:r>
        <w:rPr>
          <w:rFonts w:ascii="Times New Roman" w:hAnsi="Times New Roman"/>
          <w:kern w:val="0"/>
        </w:rPr>
        <w:t>单位为微摩尔每摩尔或毫克每立方米或百分含量</w:t>
      </w:r>
      <w:r>
        <w:rPr>
          <w:rFonts w:ascii="Times New Roman" w:hAnsi="Times New Roman"/>
        </w:rPr>
        <w:t>（μmol/mol、mg/m</w:t>
      </w:r>
      <w:r>
        <w:rPr>
          <w:rFonts w:ascii="Times New Roman" w:hAnsi="Times New Roman"/>
          <w:vertAlign w:val="superscript"/>
        </w:rPr>
        <w:t>3</w:t>
      </w:r>
      <w:r>
        <w:rPr>
          <w:rFonts w:ascii="Times New Roman" w:hAnsi="Times New Roman"/>
        </w:rPr>
        <w:t>或%）；</w:t>
      </w:r>
    </w:p>
    <w:p w14:paraId="5441E00D">
      <w:pPr>
        <w:spacing w:line="312" w:lineRule="auto"/>
        <w:ind w:firstLine="420" w:firstLineChars="200"/>
        <w:rPr>
          <w:rFonts w:ascii="Times New Roman" w:hAnsi="Times New Roman"/>
        </w:rPr>
      </w:pPr>
      <w:r>
        <w:rPr>
          <w:rFonts w:ascii="Times New Roman" w:hAnsi="Times New Roman"/>
        </w:rPr>
        <w:t>3.143——连续进样7次，在99%置信区间内的</w:t>
      </w:r>
      <w:r>
        <w:rPr>
          <w:rFonts w:ascii="Times New Roman" w:hAnsi="Times New Roman"/>
          <w:i/>
        </w:rPr>
        <w:t>t</w:t>
      </w:r>
      <w:r>
        <w:rPr>
          <w:rFonts w:ascii="Times New Roman" w:hAnsi="Times New Roman"/>
        </w:rPr>
        <w:t>值。</w:t>
      </w:r>
    </w:p>
    <w:p w14:paraId="7E3D2777">
      <w:pPr>
        <w:pStyle w:val="238"/>
        <w:numPr>
          <w:ilvl w:val="2"/>
          <w:numId w:val="37"/>
        </w:numPr>
        <w:spacing w:before="120" w:after="120"/>
        <w:rPr>
          <w:rFonts w:ascii="Times New Roman" w:hAnsi="Times New Roman"/>
        </w:rPr>
      </w:pPr>
      <w:r>
        <w:rPr>
          <w:rFonts w:ascii="Times New Roman" w:hAnsi="Times New Roman"/>
        </w:rPr>
        <w:t>示值误差</w:t>
      </w:r>
    </w:p>
    <w:p w14:paraId="0B1FEAC8">
      <w:pPr>
        <w:widowControl/>
        <w:autoSpaceDE w:val="0"/>
        <w:autoSpaceDN w:val="0"/>
        <w:snapToGrid w:val="0"/>
        <w:spacing w:line="312" w:lineRule="auto"/>
        <w:ind w:firstLine="420" w:firstLineChars="200"/>
        <w:rPr>
          <w:rFonts w:ascii="Times New Roman" w:hAnsi="Times New Roman"/>
          <w:kern w:val="0"/>
        </w:rPr>
      </w:pPr>
      <w:r>
        <w:rPr>
          <w:rFonts w:ascii="Times New Roman" w:hAnsi="Times New Roman"/>
          <w:kern w:val="0"/>
        </w:rPr>
        <w:t>依次通入浓度为20%、50%、80%满量程的标准气体；读数稳定后分别记录仪器对各浓度标准气体所有测量组分的示值，再通入零点气等待仪器示值回零。</w:t>
      </w:r>
    </w:p>
    <w:p w14:paraId="627EB985">
      <w:pPr>
        <w:widowControl/>
        <w:autoSpaceDE w:val="0"/>
        <w:autoSpaceDN w:val="0"/>
        <w:snapToGrid w:val="0"/>
        <w:spacing w:line="312" w:lineRule="auto"/>
        <w:ind w:firstLine="420" w:firstLineChars="200"/>
        <w:rPr>
          <w:rFonts w:ascii="Times New Roman" w:hAnsi="Times New Roman"/>
          <w:kern w:val="0"/>
        </w:rPr>
      </w:pPr>
      <w:r>
        <w:rPr>
          <w:rFonts w:ascii="Times New Roman" w:hAnsi="Times New Roman"/>
          <w:kern w:val="0"/>
        </w:rPr>
        <w:t>重复上述步骤3次，按公式（5）计算仪器每种浓度标准气体测量误差相对于满量程的百分比</w:t>
      </w:r>
      <w:r>
        <w:rPr>
          <w:rFonts w:ascii="Times New Roman" w:hAnsi="Times New Roman"/>
          <w:i/>
          <w:kern w:val="0"/>
        </w:rPr>
        <w:t>L</w:t>
      </w:r>
      <w:r>
        <w:rPr>
          <w:rFonts w:ascii="Times New Roman" w:hAnsi="Times New Roman"/>
          <w:kern w:val="0"/>
          <w:vertAlign w:val="subscript"/>
        </w:rPr>
        <w:t>ei</w:t>
      </w:r>
      <w:r>
        <w:rPr>
          <w:rFonts w:ascii="Times New Roman" w:hAnsi="Times New Roman"/>
          <w:kern w:val="0"/>
        </w:rPr>
        <w:t>，取</w:t>
      </w:r>
      <w:r>
        <w:rPr>
          <w:rFonts w:ascii="Times New Roman" w:hAnsi="Times New Roman"/>
          <w:i/>
          <w:kern w:val="0"/>
        </w:rPr>
        <w:t>L</w:t>
      </w:r>
      <w:r>
        <w:rPr>
          <w:rFonts w:ascii="Times New Roman" w:hAnsi="Times New Roman"/>
          <w:kern w:val="0"/>
          <w:vertAlign w:val="subscript"/>
        </w:rPr>
        <w:t>ei</w:t>
      </w:r>
      <w:r>
        <w:rPr>
          <w:rFonts w:ascii="Times New Roman" w:hAnsi="Times New Roman"/>
          <w:kern w:val="0"/>
        </w:rPr>
        <w:t>的最大值。</w:t>
      </w:r>
    </w:p>
    <w:p w14:paraId="32A00C5E">
      <w:pPr>
        <w:widowControl/>
        <w:wordWrap w:val="0"/>
        <w:autoSpaceDE w:val="0"/>
        <w:autoSpaceDN w:val="0"/>
        <w:snapToGrid w:val="0"/>
        <w:spacing w:line="312" w:lineRule="auto"/>
        <w:ind w:right="-2" w:firstLine="420" w:firstLineChars="200"/>
        <w:jc w:val="right"/>
        <w:rPr>
          <w:rFonts w:ascii="Times New Roman" w:hAnsi="Times New Roman"/>
          <w:kern w:val="0"/>
        </w:rPr>
      </w:pPr>
      <w:r>
        <w:rPr>
          <w:rFonts w:ascii="Times New Roman" w:hAnsi="Times New Roman"/>
          <w:kern w:val="0"/>
          <w:position w:val="-24"/>
        </w:rPr>
        <w:t xml:space="preserve">        </w:t>
      </w:r>
      <w:r>
        <w:rPr>
          <w:rFonts w:ascii="Times New Roman" w:hAnsi="Times New Roman"/>
          <w:kern w:val="0"/>
          <w:position w:val="-30"/>
        </w:rPr>
        <w:object>
          <v:shape id="_x0000_i1031" o:spt="75" type="#_x0000_t75" style="height:37.8pt;width:121.8pt;" o:ole="t" filled="f" o:preferrelative="t" stroked="f" coordsize="21600,21600">
            <v:path/>
            <v:fill on="f" focussize="0,0"/>
            <v:stroke on="f" joinstyle="miter"/>
            <v:imagedata r:id="rId27" o:title=""/>
            <o:lock v:ext="edit" aspectratio="t"/>
            <w10:wrap type="none"/>
            <w10:anchorlock/>
          </v:shape>
          <o:OLEObject Type="Embed" ProgID="Equation.3" ShapeID="_x0000_i1031" DrawAspect="Content" ObjectID="_1468075731" r:id="rId26">
            <o:LockedField>false</o:LockedField>
          </o:OLEObject>
        </w:object>
      </w:r>
      <w:r>
        <w:rPr>
          <w:rFonts w:ascii="Times New Roman" w:hAnsi="Times New Roman"/>
        </w:rPr>
        <w:t>…………………………………… （5）</w:t>
      </w:r>
    </w:p>
    <w:p w14:paraId="41073EF3">
      <w:pPr>
        <w:widowControl/>
        <w:autoSpaceDE w:val="0"/>
        <w:autoSpaceDN w:val="0"/>
        <w:snapToGrid w:val="0"/>
        <w:spacing w:line="312" w:lineRule="auto"/>
        <w:ind w:firstLine="420" w:firstLineChars="200"/>
        <w:rPr>
          <w:rFonts w:ascii="Times New Roman" w:hAnsi="Times New Roman"/>
          <w:kern w:val="0"/>
        </w:rPr>
      </w:pPr>
      <w:r>
        <w:rPr>
          <w:rFonts w:ascii="Times New Roman" w:hAnsi="Times New Roman"/>
          <w:kern w:val="0"/>
        </w:rPr>
        <w:t>式中：</w:t>
      </w:r>
      <w:r>
        <w:rPr>
          <w:rFonts w:ascii="Times New Roman" w:hAnsi="Times New Roman"/>
          <w:kern w:val="0"/>
        </w:rPr>
        <w:tab/>
      </w:r>
    </w:p>
    <w:p w14:paraId="4E06D116">
      <w:pPr>
        <w:widowControl/>
        <w:autoSpaceDE w:val="0"/>
        <w:autoSpaceDN w:val="0"/>
        <w:snapToGrid w:val="0"/>
        <w:spacing w:line="312" w:lineRule="auto"/>
        <w:ind w:firstLine="420" w:firstLineChars="200"/>
        <w:rPr>
          <w:rFonts w:ascii="Times New Roman" w:hAnsi="Times New Roman"/>
          <w:kern w:val="0"/>
        </w:rPr>
      </w:pPr>
      <w:r>
        <w:rPr>
          <w:rFonts w:ascii="Times New Roman" w:hAnsi="Times New Roman"/>
          <w:i/>
          <w:kern w:val="0"/>
        </w:rPr>
        <w:t>L</w:t>
      </w:r>
      <w:r>
        <w:rPr>
          <w:rFonts w:ascii="Times New Roman" w:hAnsi="Times New Roman"/>
          <w:kern w:val="0"/>
          <w:vertAlign w:val="subscript"/>
        </w:rPr>
        <w:t>eim</w:t>
      </w:r>
      <w:r>
        <w:rPr>
          <w:rFonts w:ascii="Times New Roman" w:hAnsi="Times New Roman"/>
          <w:kern w:val="0"/>
        </w:rPr>
        <w:t>——仪器</w:t>
      </w:r>
      <w:r>
        <w:rPr>
          <w:rFonts w:ascii="Times New Roman" w:hAnsi="Times New Roman"/>
        </w:rPr>
        <w:t>某测量组分</w:t>
      </w:r>
      <w:r>
        <w:rPr>
          <w:rFonts w:ascii="Times New Roman" w:hAnsi="Times New Roman"/>
          <w:kern w:val="0"/>
        </w:rPr>
        <w:t>测量第i种浓度标准气体某测量组分的示值误差，用满量程的百分比表示</w:t>
      </w:r>
      <w:bookmarkStart w:id="111" w:name="_GoBack"/>
      <w:bookmarkEnd w:id="111"/>
      <w:r>
        <w:rPr>
          <w:rFonts w:ascii="Times New Roman" w:hAnsi="Times New Roman"/>
        </w:rPr>
        <w:t>；</w:t>
      </w:r>
    </w:p>
    <w:p w14:paraId="7690068A">
      <w:pPr>
        <w:widowControl/>
        <w:autoSpaceDE w:val="0"/>
        <w:autoSpaceDN w:val="0"/>
        <w:snapToGrid w:val="0"/>
        <w:spacing w:line="312" w:lineRule="auto"/>
        <w:ind w:firstLine="420" w:firstLineChars="200"/>
        <w:rPr>
          <w:rFonts w:ascii="Times New Roman" w:hAnsi="Times New Roman"/>
          <w:kern w:val="0"/>
        </w:rPr>
      </w:pPr>
      <w:r>
        <w:rPr>
          <w:rFonts w:ascii="Times New Roman" w:hAnsi="Times New Roman"/>
          <w:i/>
          <w:kern w:val="0"/>
        </w:rPr>
        <w:t>C</w:t>
      </w:r>
      <w:r>
        <w:rPr>
          <w:rFonts w:ascii="Times New Roman" w:hAnsi="Times New Roman"/>
          <w:kern w:val="0"/>
          <w:vertAlign w:val="subscript"/>
        </w:rPr>
        <w:t>sim</w:t>
      </w:r>
      <w:r>
        <w:rPr>
          <w:rFonts w:ascii="Times New Roman" w:hAnsi="Times New Roman"/>
          <w:kern w:val="0"/>
        </w:rPr>
        <w:t>——</w:t>
      </w:r>
      <w:r>
        <w:rPr>
          <w:rFonts w:ascii="Times New Roman" w:hAnsi="Times New Roman"/>
        </w:rPr>
        <w:t>某测量组分</w:t>
      </w:r>
      <w:r>
        <w:rPr>
          <w:rFonts w:ascii="Times New Roman" w:hAnsi="Times New Roman"/>
          <w:kern w:val="0"/>
        </w:rPr>
        <w:t>第i种浓度标准气体某测量组分浓度标称值，单位为微摩尔每摩尔或毫克每立方米或百分含量</w:t>
      </w:r>
      <w:r>
        <w:rPr>
          <w:rFonts w:ascii="Times New Roman" w:hAnsi="Times New Roman"/>
        </w:rPr>
        <w:t>（μmol/mol、mg/m</w:t>
      </w:r>
      <w:r>
        <w:rPr>
          <w:rFonts w:ascii="Times New Roman" w:hAnsi="Times New Roman"/>
          <w:vertAlign w:val="superscript"/>
        </w:rPr>
        <w:t>3</w:t>
      </w:r>
      <w:r>
        <w:rPr>
          <w:rFonts w:ascii="Times New Roman" w:hAnsi="Times New Roman"/>
        </w:rPr>
        <w:t>或%）</w:t>
      </w:r>
      <w:r>
        <w:rPr>
          <w:rFonts w:ascii="Times New Roman" w:hAnsi="Times New Roman"/>
          <w:kern w:val="0"/>
        </w:rPr>
        <w:t>；</w:t>
      </w:r>
    </w:p>
    <w:p w14:paraId="0E57DC43">
      <w:pPr>
        <w:widowControl/>
        <w:autoSpaceDE w:val="0"/>
        <w:autoSpaceDN w:val="0"/>
        <w:snapToGrid w:val="0"/>
        <w:spacing w:line="312" w:lineRule="auto"/>
        <w:ind w:firstLine="420" w:firstLineChars="200"/>
        <w:rPr>
          <w:rFonts w:ascii="Times New Roman" w:hAnsi="Times New Roman"/>
          <w:kern w:val="0"/>
        </w:rPr>
      </w:pPr>
      <w:r>
        <w:rPr>
          <w:rFonts w:ascii="Times New Roman" w:hAnsi="Times New Roman"/>
          <w:position w:val="-12"/>
        </w:rPr>
        <w:object>
          <v:shape id="_x0000_i1032" o:spt="75" type="#_x0000_t75" style="height:19.8pt;width:24pt;" o:ole="t" filled="f" o:preferrelative="t" stroked="f" coordsize="21600,21600">
            <v:path/>
            <v:fill on="f" focussize="0,0"/>
            <v:stroke on="f" joinstyle="miter"/>
            <v:imagedata r:id="rId29" o:title=""/>
            <o:lock v:ext="edit" aspectratio="t"/>
            <w10:wrap type="none"/>
            <w10:anchorlock/>
          </v:shape>
          <o:OLEObject Type="Embed" ProgID="Equation.3" ShapeID="_x0000_i1032" DrawAspect="Content" ObjectID="_1468075732" r:id="rId28">
            <o:LockedField>false</o:LockedField>
          </o:OLEObject>
        </w:object>
      </w:r>
      <w:r>
        <w:rPr>
          <w:rFonts w:ascii="Times New Roman" w:hAnsi="Times New Roman"/>
          <w:kern w:val="0"/>
        </w:rPr>
        <w:t>——仪器</w:t>
      </w:r>
      <w:r>
        <w:rPr>
          <w:rFonts w:ascii="Times New Roman" w:hAnsi="Times New Roman"/>
        </w:rPr>
        <w:t>某测量组分</w:t>
      </w:r>
      <w:r>
        <w:rPr>
          <w:rFonts w:ascii="Times New Roman" w:hAnsi="Times New Roman"/>
          <w:kern w:val="0"/>
        </w:rPr>
        <w:t>测量第i种浓度标准气体某测量组分3次测量平均值，单位为微摩尔每摩尔或毫克每立方米或百分含量</w:t>
      </w:r>
      <w:r>
        <w:rPr>
          <w:rFonts w:ascii="Times New Roman" w:hAnsi="Times New Roman"/>
        </w:rPr>
        <w:t>（μmol/mol、mg/m</w:t>
      </w:r>
      <w:r>
        <w:rPr>
          <w:rFonts w:ascii="Times New Roman" w:hAnsi="Times New Roman"/>
          <w:vertAlign w:val="superscript"/>
        </w:rPr>
        <w:t>3</w:t>
      </w:r>
      <w:r>
        <w:rPr>
          <w:rFonts w:ascii="Times New Roman" w:hAnsi="Times New Roman"/>
        </w:rPr>
        <w:t>或%）</w:t>
      </w:r>
      <w:r>
        <w:rPr>
          <w:rFonts w:ascii="Times New Roman" w:hAnsi="Times New Roman"/>
          <w:kern w:val="0"/>
        </w:rPr>
        <w:t>；</w:t>
      </w:r>
    </w:p>
    <w:p w14:paraId="5BA9C131">
      <w:pPr>
        <w:widowControl/>
        <w:autoSpaceDE w:val="0"/>
        <w:autoSpaceDN w:val="0"/>
        <w:snapToGrid w:val="0"/>
        <w:spacing w:line="312" w:lineRule="auto"/>
        <w:ind w:firstLine="420" w:firstLineChars="200"/>
        <w:rPr>
          <w:rFonts w:ascii="Times New Roman" w:hAnsi="Times New Roman"/>
          <w:kern w:val="0"/>
        </w:rPr>
      </w:pPr>
      <w:r>
        <w:rPr>
          <w:rFonts w:ascii="Times New Roman" w:hAnsi="Times New Roman"/>
          <w:i/>
          <w:kern w:val="0"/>
        </w:rPr>
        <w:t>i</w:t>
      </w:r>
      <w:r>
        <w:rPr>
          <w:rFonts w:ascii="Times New Roman" w:hAnsi="Times New Roman"/>
          <w:kern w:val="0"/>
        </w:rPr>
        <w:t>——标准气体浓度序号（i=1～3）；</w:t>
      </w:r>
    </w:p>
    <w:p w14:paraId="1A656040">
      <w:pPr>
        <w:spacing w:line="312" w:lineRule="auto"/>
        <w:ind w:firstLine="420" w:firstLineChars="200"/>
        <w:rPr>
          <w:rFonts w:ascii="Times New Roman" w:hAnsi="Times New Roman"/>
        </w:rPr>
      </w:pPr>
      <w:r>
        <w:rPr>
          <w:rFonts w:ascii="Times New Roman" w:hAnsi="Times New Roman"/>
          <w:i/>
        </w:rPr>
        <w:t>R</w:t>
      </w:r>
      <w:r>
        <w:rPr>
          <w:rFonts w:ascii="Times New Roman" w:hAnsi="Times New Roman"/>
          <w:iCs/>
          <w:vertAlign w:val="subscript"/>
        </w:rPr>
        <w:t>m</w:t>
      </w:r>
      <w:r>
        <w:rPr>
          <w:rFonts w:ascii="Times New Roman" w:hAnsi="Times New Roman"/>
        </w:rPr>
        <w:t>——仪器某测量组分满量程值，</w:t>
      </w:r>
      <w:bookmarkStart w:id="52" w:name="_Hlk184040719"/>
      <w:r>
        <w:rPr>
          <w:rFonts w:ascii="Times New Roman" w:hAnsi="Times New Roman"/>
          <w:kern w:val="0"/>
        </w:rPr>
        <w:t>单位为微摩尔每摩尔或毫克每立方米或百分含量</w:t>
      </w:r>
      <w:r>
        <w:rPr>
          <w:rFonts w:ascii="Times New Roman" w:hAnsi="Times New Roman"/>
        </w:rPr>
        <w:t>（μmol/mol、mg/m</w:t>
      </w:r>
      <w:r>
        <w:rPr>
          <w:rFonts w:ascii="Times New Roman" w:hAnsi="Times New Roman"/>
          <w:vertAlign w:val="superscript"/>
        </w:rPr>
        <w:t>3</w:t>
      </w:r>
      <w:r>
        <w:rPr>
          <w:rFonts w:ascii="Times New Roman" w:hAnsi="Times New Roman"/>
        </w:rPr>
        <w:t>或%）</w:t>
      </w:r>
      <w:bookmarkEnd w:id="52"/>
      <w:r>
        <w:rPr>
          <w:rFonts w:ascii="Times New Roman" w:hAnsi="Times New Roman"/>
        </w:rPr>
        <w:t>。</w:t>
      </w:r>
    </w:p>
    <w:p w14:paraId="3E2A3CDC">
      <w:pPr>
        <w:pStyle w:val="238"/>
        <w:numPr>
          <w:ilvl w:val="2"/>
          <w:numId w:val="37"/>
        </w:numPr>
        <w:spacing w:before="120" w:after="120"/>
        <w:rPr>
          <w:rFonts w:ascii="Times New Roman" w:hAnsi="Times New Roman"/>
        </w:rPr>
      </w:pPr>
      <w:r>
        <w:rPr>
          <w:rFonts w:ascii="Times New Roman" w:hAnsi="Times New Roman"/>
        </w:rPr>
        <w:t>重复性</w:t>
      </w:r>
    </w:p>
    <w:p w14:paraId="756D93F1">
      <w:pPr>
        <w:spacing w:line="312" w:lineRule="auto"/>
        <w:ind w:firstLine="420" w:firstLineChars="200"/>
        <w:rPr>
          <w:rFonts w:ascii="Times New Roman" w:hAnsi="Times New Roman"/>
        </w:rPr>
      </w:pPr>
      <w:r>
        <w:rPr>
          <w:rFonts w:ascii="Times New Roman" w:hAnsi="Times New Roman"/>
        </w:rPr>
        <w:t>通入</w:t>
      </w:r>
      <w:r>
        <w:rPr>
          <w:rFonts w:ascii="Times New Roman" w:hAnsi="Times New Roman"/>
          <w:kern w:val="0"/>
        </w:rPr>
        <w:t>80%满量程的标准气体</w:t>
      </w:r>
      <w:r>
        <w:rPr>
          <w:rFonts w:ascii="Times New Roman" w:hAnsi="Times New Roman"/>
        </w:rPr>
        <w:t xml:space="preserve">，待示值稳定后，记录示值 </w:t>
      </w:r>
      <w:r>
        <w:rPr>
          <w:rFonts w:ascii="Times New Roman" w:hAnsi="Times New Roman"/>
          <w:i/>
          <w:iCs/>
        </w:rPr>
        <w:t>C</w:t>
      </w:r>
      <w:r>
        <w:rPr>
          <w:rFonts w:ascii="Times New Roman" w:hAnsi="Times New Roman"/>
          <w:i/>
          <w:iCs/>
          <w:vertAlign w:val="subscript"/>
        </w:rPr>
        <w:t>im</w:t>
      </w:r>
      <w:r>
        <w:rPr>
          <w:rFonts w:ascii="Times New Roman" w:hAnsi="Times New Roman"/>
        </w:rPr>
        <w:t>，然后回零，重复上述测试操作至少 6 次，按公式（6）计算仪器所有测量组分的重复性。</w:t>
      </w:r>
    </w:p>
    <w:p w14:paraId="07D18475">
      <w:pPr>
        <w:spacing w:line="312" w:lineRule="auto"/>
        <w:ind w:firstLine="420" w:firstLineChars="200"/>
        <w:jc w:val="right"/>
        <w:rPr>
          <w:rFonts w:ascii="Times New Roman" w:hAnsi="Times New Roman"/>
        </w:rPr>
      </w:pPr>
      <w:r>
        <w:rPr>
          <w:rFonts w:ascii="Times New Roman" w:hAnsi="Times New Roman"/>
          <w:position w:val="-30"/>
        </w:rPr>
        <w:object>
          <v:shape id="_x0000_i1033" o:spt="75" type="#_x0000_t75" style="height:53.4pt;width:174.6pt;" o:ole="t" filled="f" o:preferrelative="t" stroked="f" coordsize="21600,21600">
            <v:path/>
            <v:fill on="f" focussize="0,0"/>
            <v:stroke on="f" joinstyle="miter"/>
            <v:imagedata r:id="rId31" o:title=""/>
            <o:lock v:ext="edit" aspectratio="t"/>
            <w10:wrap type="none"/>
            <w10:anchorlock/>
          </v:shape>
          <o:OLEObject Type="Embed" ProgID="Equation.3" ShapeID="_x0000_i1033" DrawAspect="Content" ObjectID="_1468075733" r:id="rId30">
            <o:LockedField>false</o:LockedField>
          </o:OLEObject>
        </w:object>
      </w:r>
      <w:r>
        <w:rPr>
          <w:rFonts w:ascii="Times New Roman" w:hAnsi="Times New Roman"/>
        </w:rPr>
        <w:t>………………………… （6）</w:t>
      </w:r>
    </w:p>
    <w:p w14:paraId="0BD33262">
      <w:pPr>
        <w:spacing w:line="312" w:lineRule="auto"/>
        <w:ind w:firstLine="420" w:firstLineChars="200"/>
        <w:rPr>
          <w:rFonts w:ascii="Times New Roman" w:hAnsi="Times New Roman"/>
        </w:rPr>
      </w:pPr>
      <w:r>
        <w:rPr>
          <w:rFonts w:ascii="Times New Roman" w:hAnsi="Times New Roman"/>
        </w:rPr>
        <w:t xml:space="preserve">式中： </w:t>
      </w:r>
    </w:p>
    <w:p w14:paraId="40407DB8">
      <w:pPr>
        <w:spacing w:line="312" w:lineRule="auto"/>
        <w:ind w:firstLine="420" w:firstLineChars="200"/>
        <w:rPr>
          <w:rFonts w:ascii="Times New Roman" w:hAnsi="Times New Roman"/>
        </w:rPr>
      </w:pPr>
      <w:r>
        <w:rPr>
          <w:rFonts w:ascii="Times New Roman" w:hAnsi="Times New Roman"/>
          <w:i/>
        </w:rPr>
        <w:t>S</w:t>
      </w:r>
      <w:r>
        <w:rPr>
          <w:rFonts w:ascii="Times New Roman" w:hAnsi="Times New Roman"/>
          <w:vertAlign w:val="subscript"/>
        </w:rPr>
        <w:t>rm</w:t>
      </w:r>
      <w:r>
        <w:rPr>
          <w:rFonts w:ascii="Times New Roman" w:hAnsi="Times New Roman"/>
        </w:rPr>
        <w:t>——仪器某测量组分定量测量重复性；</w:t>
      </w:r>
    </w:p>
    <w:p w14:paraId="0523C474">
      <w:pPr>
        <w:spacing w:line="312" w:lineRule="auto"/>
        <w:ind w:firstLine="420" w:firstLineChars="200"/>
        <w:rPr>
          <w:rFonts w:ascii="Times New Roman" w:hAnsi="Times New Roman"/>
        </w:rPr>
      </w:pPr>
      <w:r>
        <w:rPr>
          <w:rFonts w:ascii="Times New Roman" w:hAnsi="Times New Roman"/>
          <w:i/>
        </w:rPr>
        <w:t>C</w:t>
      </w:r>
      <w:r>
        <w:rPr>
          <w:rFonts w:ascii="Times New Roman" w:hAnsi="Times New Roman"/>
          <w:vertAlign w:val="subscript"/>
        </w:rPr>
        <w:t>im</w:t>
      </w:r>
      <w:r>
        <w:rPr>
          <w:rFonts w:ascii="Times New Roman" w:hAnsi="Times New Roman"/>
        </w:rPr>
        <w:t>——校准气某测量组分第i次测量值，</w:t>
      </w:r>
      <w:r>
        <w:rPr>
          <w:rFonts w:ascii="Times New Roman" w:hAnsi="Times New Roman"/>
          <w:kern w:val="0"/>
        </w:rPr>
        <w:t>单位为微摩尔每摩尔或毫克每立方米或百分含量</w:t>
      </w:r>
      <w:r>
        <w:rPr>
          <w:rFonts w:ascii="Times New Roman" w:hAnsi="Times New Roman"/>
        </w:rPr>
        <w:t>（μmol/mol、mg/m</w:t>
      </w:r>
      <w:r>
        <w:rPr>
          <w:rFonts w:ascii="Times New Roman" w:hAnsi="Times New Roman"/>
          <w:vertAlign w:val="superscript"/>
        </w:rPr>
        <w:t>3</w:t>
      </w:r>
      <w:r>
        <w:rPr>
          <w:rFonts w:ascii="Times New Roman" w:hAnsi="Times New Roman"/>
        </w:rPr>
        <w:t>或%）；</w:t>
      </w:r>
    </w:p>
    <w:p w14:paraId="483449FE">
      <w:pPr>
        <w:spacing w:line="312" w:lineRule="auto"/>
        <w:ind w:firstLine="420" w:firstLineChars="200"/>
        <w:rPr>
          <w:rFonts w:ascii="Times New Roman" w:hAnsi="Times New Roman"/>
        </w:rPr>
      </w:pPr>
      <w:r>
        <w:rPr>
          <w:rFonts w:ascii="Times New Roman" w:hAnsi="Times New Roman"/>
          <w:position w:val="-12"/>
        </w:rPr>
        <w:object>
          <v:shape id="_x0000_i1034" o:spt="75" type="#_x0000_t75" style="height:19.8pt;width:18pt;" o:ole="t" filled="f" o:preferrelative="t" stroked="f" coordsize="21600,21600">
            <v:path/>
            <v:fill on="f" focussize="0,0"/>
            <v:stroke on="f" joinstyle="miter"/>
            <v:imagedata r:id="rId33" o:title=""/>
            <o:lock v:ext="edit" aspectratio="t"/>
            <w10:wrap type="none"/>
            <w10:anchorlock/>
          </v:shape>
          <o:OLEObject Type="Embed" ProgID="Equation.3" ShapeID="_x0000_i1034" DrawAspect="Content" ObjectID="_1468075734" r:id="rId32">
            <o:LockedField>false</o:LockedField>
          </o:OLEObject>
        </w:object>
      </w:r>
      <w:r>
        <w:rPr>
          <w:rFonts w:ascii="Times New Roman" w:hAnsi="Times New Roman"/>
        </w:rPr>
        <w:t>——校准气某测量组分测量平均值，</w:t>
      </w:r>
      <w:r>
        <w:rPr>
          <w:rFonts w:ascii="Times New Roman" w:hAnsi="Times New Roman"/>
          <w:kern w:val="0"/>
        </w:rPr>
        <w:t>单位为微摩尔每摩尔或毫克每立方米或百分含量</w:t>
      </w:r>
      <w:r>
        <w:rPr>
          <w:rFonts w:ascii="Times New Roman" w:hAnsi="Times New Roman"/>
        </w:rPr>
        <w:t>（μmol/mol、mg/m</w:t>
      </w:r>
      <w:r>
        <w:rPr>
          <w:rFonts w:ascii="Times New Roman" w:hAnsi="Times New Roman"/>
          <w:vertAlign w:val="superscript"/>
        </w:rPr>
        <w:t>3</w:t>
      </w:r>
      <w:r>
        <w:rPr>
          <w:rFonts w:ascii="Times New Roman" w:hAnsi="Times New Roman"/>
        </w:rPr>
        <w:t>或%）；</w:t>
      </w:r>
    </w:p>
    <w:p w14:paraId="1907636D">
      <w:pPr>
        <w:spacing w:line="312" w:lineRule="auto"/>
        <w:ind w:firstLine="420" w:firstLineChars="200"/>
        <w:rPr>
          <w:rFonts w:ascii="Times New Roman" w:hAnsi="Times New Roman"/>
        </w:rPr>
      </w:pPr>
      <w:r>
        <w:rPr>
          <w:rFonts w:ascii="Times New Roman" w:hAnsi="Times New Roman"/>
          <w:i/>
        </w:rPr>
        <w:t>i</w:t>
      </w:r>
      <w:r>
        <w:rPr>
          <w:rFonts w:ascii="Times New Roman" w:hAnsi="Times New Roman"/>
        </w:rPr>
        <w:t>——记录数据的序号（i=1～n）；</w:t>
      </w:r>
    </w:p>
    <w:p w14:paraId="4B7E1162">
      <w:pPr>
        <w:pStyle w:val="234"/>
        <w:spacing w:line="312" w:lineRule="auto"/>
        <w:rPr>
          <w:rFonts w:ascii="Times New Roman"/>
          <w:kern w:val="2"/>
          <w:szCs w:val="21"/>
        </w:rPr>
      </w:pPr>
      <w:r>
        <w:rPr>
          <w:rFonts w:ascii="Times New Roman"/>
          <w:i/>
          <w:kern w:val="2"/>
          <w:szCs w:val="21"/>
        </w:rPr>
        <w:t>n</w:t>
      </w:r>
      <w:r>
        <w:rPr>
          <w:rFonts w:ascii="Times New Roman"/>
          <w:kern w:val="2"/>
          <w:szCs w:val="21"/>
        </w:rPr>
        <w:t>——测量次数（n≥6）。</w:t>
      </w:r>
    </w:p>
    <w:p w14:paraId="3E6DACB3">
      <w:pPr>
        <w:pStyle w:val="238"/>
        <w:numPr>
          <w:ilvl w:val="2"/>
          <w:numId w:val="37"/>
        </w:numPr>
        <w:spacing w:before="120" w:after="120"/>
        <w:rPr>
          <w:rFonts w:ascii="Times New Roman" w:hAnsi="Times New Roman"/>
        </w:rPr>
      </w:pPr>
      <w:r>
        <w:rPr>
          <w:rFonts w:ascii="Times New Roman" w:hAnsi="Times New Roman"/>
        </w:rPr>
        <w:t>响应时间</w:t>
      </w:r>
    </w:p>
    <w:p w14:paraId="10872F8A">
      <w:pPr>
        <w:pStyle w:val="234"/>
        <w:spacing w:line="312" w:lineRule="auto"/>
        <w:rPr>
          <w:rFonts w:ascii="Times New Roman"/>
          <w:kern w:val="2"/>
          <w:szCs w:val="21"/>
        </w:rPr>
      </w:pPr>
      <w:bookmarkStart w:id="53" w:name="_Hlk168407913"/>
      <w:r>
        <w:rPr>
          <w:rFonts w:ascii="Times New Roman"/>
          <w:szCs w:val="21"/>
        </w:rPr>
        <w:t>通入零点气体，直至获得稳定读数，再通入80%满量程的标准气体，直至获得稳定读数。然后通入零点气体，同时用秒表开始计时，当仪器显示值下降至80%满量程的标准气体稳定读数的10%时，停止计时；记录所用时间为仪器的下降时间。待零点气体测量读数稳定后，通入80%满量程的标准气体，同时用秒表开始计时；当仪器显示值上升至80%满量程的标准气体稳定读数的90%时，停止计时；记录所用时间为仪器的上升时间。</w:t>
      </w:r>
    </w:p>
    <w:bookmarkEnd w:id="53"/>
    <w:p w14:paraId="2D3772D0">
      <w:pPr>
        <w:pStyle w:val="238"/>
        <w:numPr>
          <w:ilvl w:val="2"/>
          <w:numId w:val="37"/>
        </w:numPr>
        <w:spacing w:before="120" w:after="120"/>
        <w:rPr>
          <w:rFonts w:ascii="Times New Roman" w:hAnsi="Times New Roman"/>
        </w:rPr>
      </w:pPr>
      <w:r>
        <w:rPr>
          <w:rFonts w:ascii="Times New Roman" w:hAnsi="Times New Roman"/>
        </w:rPr>
        <w:t>漂移</w:t>
      </w:r>
    </w:p>
    <w:p w14:paraId="433C5973">
      <w:pPr>
        <w:spacing w:line="312" w:lineRule="auto"/>
        <w:ind w:firstLine="420" w:firstLineChars="200"/>
        <w:textAlignment w:val="center"/>
        <w:rPr>
          <w:rFonts w:ascii="Times New Roman" w:hAnsi="Times New Roman"/>
        </w:rPr>
      </w:pPr>
      <w:r>
        <w:rPr>
          <w:rFonts w:ascii="Times New Roman" w:hAnsi="Times New Roman"/>
        </w:rPr>
        <w:t>通入零点气体，记录仪器的稳定零点读数</w:t>
      </w:r>
      <w:r>
        <w:rPr>
          <w:rFonts w:ascii="Times New Roman" w:hAnsi="Times New Roman"/>
        </w:rPr>
        <w:drawing>
          <wp:inline distT="0" distB="0" distL="0" distR="0">
            <wp:extent cx="190500" cy="2286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190500" cy="228600"/>
                    </a:xfrm>
                    <a:prstGeom prst="rect">
                      <a:avLst/>
                    </a:prstGeom>
                    <a:noFill/>
                    <a:ln>
                      <a:noFill/>
                    </a:ln>
                  </pic:spPr>
                </pic:pic>
              </a:graphicData>
            </a:graphic>
          </wp:inline>
        </w:drawing>
      </w:r>
      <w:r>
        <w:rPr>
          <w:rFonts w:ascii="Times New Roman" w:hAnsi="Times New Roman"/>
        </w:rPr>
        <w:t>，然后通入80%满量程的标准气体，记录仪器的稳定读数</w:t>
      </w:r>
      <w:r>
        <w:rPr>
          <w:rFonts w:ascii="Times New Roman" w:hAnsi="Times New Roman"/>
        </w:rPr>
        <w:drawing>
          <wp:inline distT="0" distB="0" distL="0" distR="0">
            <wp:extent cx="180975" cy="228600"/>
            <wp:effectExtent l="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80975" cy="228600"/>
                    </a:xfrm>
                    <a:prstGeom prst="rect">
                      <a:avLst/>
                    </a:prstGeom>
                    <a:noFill/>
                    <a:ln>
                      <a:noFill/>
                    </a:ln>
                  </pic:spPr>
                </pic:pic>
              </a:graphicData>
            </a:graphic>
          </wp:inline>
        </w:drawing>
      </w:r>
      <w:r>
        <w:rPr>
          <w:rFonts w:ascii="Times New Roman" w:hAnsi="Times New Roman"/>
        </w:rPr>
        <w:t>。让仪器连续运行24 h后，测定和记录一次零点读数</w:t>
      </w:r>
      <w:r>
        <w:rPr>
          <w:rFonts w:ascii="Times New Roman" w:hAnsi="Times New Roman"/>
        </w:rPr>
        <w:drawing>
          <wp:inline distT="0" distB="0" distL="0" distR="0">
            <wp:extent cx="161925" cy="228600"/>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61925" cy="228600"/>
                    </a:xfrm>
                    <a:prstGeom prst="rect">
                      <a:avLst/>
                    </a:prstGeom>
                    <a:noFill/>
                    <a:ln>
                      <a:noFill/>
                    </a:ln>
                  </pic:spPr>
                </pic:pic>
              </a:graphicData>
            </a:graphic>
          </wp:inline>
        </w:drawing>
      </w:r>
      <w:r>
        <w:rPr>
          <w:rFonts w:ascii="Times New Roman" w:hAnsi="Times New Roman"/>
        </w:rPr>
        <w:t>和量程值读数</w:t>
      </w:r>
      <w:r>
        <w:rPr>
          <w:rFonts w:ascii="Times New Roman" w:hAnsi="Times New Roman"/>
        </w:rPr>
        <w:drawing>
          <wp:inline distT="0" distB="0" distL="0" distR="0">
            <wp:extent cx="152400" cy="2286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152400" cy="228600"/>
                    </a:xfrm>
                    <a:prstGeom prst="rect">
                      <a:avLst/>
                    </a:prstGeom>
                    <a:noFill/>
                    <a:ln>
                      <a:noFill/>
                    </a:ln>
                  </pic:spPr>
                </pic:pic>
              </a:graphicData>
            </a:graphic>
          </wp:inline>
        </w:drawing>
      </w:r>
      <w:r>
        <w:rPr>
          <w:rFonts w:ascii="Times New Roman" w:hAnsi="Times New Roman"/>
        </w:rPr>
        <w:t>，随后将本次零点和量程测量值当作下一次的零点和量程漂移测试的初始值；重复测试7次，按式（7）计算零点漂移。</w:t>
      </w:r>
    </w:p>
    <w:p w14:paraId="7D4059FB">
      <w:pPr>
        <w:spacing w:line="312" w:lineRule="auto"/>
        <w:ind w:firstLine="3780" w:firstLineChars="1800"/>
        <w:textAlignment w:val="center"/>
        <w:rPr>
          <w:rFonts w:ascii="Times New Roman" w:hAnsi="Times New Roman"/>
          <w:position w:val="-30"/>
        </w:rPr>
      </w:pPr>
      <w:r>
        <w:rPr>
          <w:rFonts w:ascii="Times New Roman" w:hAnsi="Times New Roman"/>
          <w:position w:val="-12"/>
        </w:rPr>
        <w:object>
          <v:shape id="_x0000_i1035" o:spt="75" type="#_x0000_t75" style="height:18pt;width:81.6pt;" o:ole="t" filled="f" o:preferrelative="t" stroked="f" coordsize="21600,21600">
            <v:path/>
            <v:fill on="f" focussize="0,0"/>
            <v:stroke on="f" joinstyle="miter"/>
            <v:imagedata r:id="rId39" o:title=""/>
            <o:lock v:ext="edit" aspectratio="t"/>
            <w10:wrap type="none"/>
            <w10:anchorlock/>
          </v:shape>
          <o:OLEObject Type="Embed" ProgID="Equation.3" ShapeID="_x0000_i1035" DrawAspect="Content" ObjectID="_1468075735" r:id="rId38">
            <o:LockedField>false</o:LockedField>
          </o:OLEObject>
        </w:object>
      </w:r>
    </w:p>
    <w:p w14:paraId="28C8DDC8">
      <w:pPr>
        <w:tabs>
          <w:tab w:val="left" w:pos="2580"/>
          <w:tab w:val="center" w:pos="4887"/>
        </w:tabs>
        <w:spacing w:line="312" w:lineRule="auto"/>
        <w:jc w:val="right"/>
        <w:textAlignment w:val="center"/>
        <w:rPr>
          <w:rFonts w:ascii="Times New Roman" w:hAnsi="Times New Roman"/>
          <w:position w:val="-30"/>
        </w:rPr>
      </w:pPr>
      <w:r>
        <w:rPr>
          <w:rFonts w:ascii="Times New Roman" w:hAnsi="Times New Roman"/>
          <w:position w:val="-30"/>
        </w:rPr>
        <w:object>
          <v:shape id="_x0000_i1036" o:spt="75" type="#_x0000_t75" style="height:34.2pt;width:94.8pt;" o:ole="t" filled="f" o:preferrelative="t" stroked="f" coordsize="21600,21600">
            <v:path/>
            <v:fill on="f" focussize="0,0"/>
            <v:stroke on="f" joinstyle="miter"/>
            <v:imagedata r:id="rId41" o:title=""/>
            <o:lock v:ext="edit" aspectratio="t"/>
            <w10:wrap type="none"/>
            <w10:anchorlock/>
          </v:shape>
          <o:OLEObject Type="Embed" ProgID="Equation.3" ShapeID="_x0000_i1036" DrawAspect="Content" ObjectID="_1468075736" r:id="rId40">
            <o:LockedField>false</o:LockedField>
          </o:OLEObject>
        </w:object>
      </w:r>
      <w:r>
        <w:rPr>
          <w:rFonts w:ascii="Times New Roman" w:hAnsi="Times New Roman"/>
        </w:rPr>
        <w:t>……………………………………… （7）</w:t>
      </w:r>
    </w:p>
    <w:p w14:paraId="3CF11534">
      <w:pPr>
        <w:spacing w:line="312" w:lineRule="auto"/>
        <w:ind w:firstLine="420" w:firstLineChars="200"/>
        <w:rPr>
          <w:rFonts w:ascii="Times New Roman" w:hAnsi="Times New Roman"/>
          <w:kern w:val="0"/>
        </w:rPr>
      </w:pPr>
      <w:r>
        <w:rPr>
          <w:rFonts w:ascii="Times New Roman" w:hAnsi="Times New Roman"/>
          <w:kern w:val="0"/>
        </w:rPr>
        <w:t>式中：</w:t>
      </w:r>
    </w:p>
    <w:p w14:paraId="07C733AD">
      <w:pPr>
        <w:spacing w:line="312" w:lineRule="auto"/>
        <w:ind w:firstLine="315" w:firstLineChars="150"/>
        <w:rPr>
          <w:rFonts w:ascii="Times New Roman" w:hAnsi="Times New Roman"/>
        </w:rPr>
      </w:pPr>
      <w:r>
        <w:rPr>
          <w:rFonts w:hint="eastAsia" w:ascii="Times New Roman" w:hAnsi="Times New Roman"/>
          <w:i/>
          <w:iCs/>
          <w:kern w:val="0"/>
        </w:rPr>
        <w:t>Z</w:t>
      </w:r>
      <w:r>
        <w:rPr>
          <w:rFonts w:hint="eastAsia" w:ascii="Times New Roman" w:hAnsi="Times New Roman"/>
          <w:kern w:val="0"/>
          <w:vertAlign w:val="subscript"/>
        </w:rPr>
        <w:t>0m</w:t>
      </w:r>
      <w:r>
        <w:rPr>
          <w:rFonts w:ascii="Times New Roman" w:hAnsi="Times New Roman"/>
          <w:kern w:val="0"/>
        </w:rPr>
        <w:t>——</w:t>
      </w:r>
      <w:r>
        <w:rPr>
          <w:rFonts w:ascii="Times New Roman" w:hAnsi="Times New Roman"/>
        </w:rPr>
        <w:t>某测量组分</w:t>
      </w:r>
      <w:r>
        <w:rPr>
          <w:rFonts w:ascii="Times New Roman" w:hAnsi="Times New Roman"/>
          <w:kern w:val="0"/>
        </w:rPr>
        <w:t>零点读数初始值</w:t>
      </w:r>
      <w:r>
        <w:rPr>
          <w:rFonts w:ascii="Times New Roman" w:hAnsi="Times New Roman"/>
        </w:rPr>
        <w:t>，</w:t>
      </w:r>
      <w:r>
        <w:rPr>
          <w:rFonts w:ascii="Times New Roman" w:hAnsi="Times New Roman"/>
          <w:kern w:val="0"/>
        </w:rPr>
        <w:t>单位为微摩尔每摩尔或毫克每立方米或百分含量</w:t>
      </w:r>
      <w:r>
        <w:rPr>
          <w:rFonts w:ascii="Times New Roman" w:hAnsi="Times New Roman"/>
        </w:rPr>
        <w:t>（μmol/mol、mg/m</w:t>
      </w:r>
      <w:r>
        <w:rPr>
          <w:rFonts w:ascii="Times New Roman" w:hAnsi="Times New Roman"/>
          <w:vertAlign w:val="superscript"/>
        </w:rPr>
        <w:t>3</w:t>
      </w:r>
      <w:r>
        <w:rPr>
          <w:rFonts w:ascii="Times New Roman" w:hAnsi="Times New Roman"/>
        </w:rPr>
        <w:t>或%）；</w:t>
      </w:r>
    </w:p>
    <w:p w14:paraId="001627C7">
      <w:pPr>
        <w:spacing w:line="312" w:lineRule="auto"/>
        <w:rPr>
          <w:rFonts w:ascii="Times New Roman" w:hAnsi="Times New Roman"/>
          <w:kern w:val="0"/>
        </w:rPr>
      </w:pPr>
      <w:r>
        <w:rPr>
          <w:rFonts w:ascii="Times New Roman" w:hAnsi="Times New Roman"/>
          <w:kern w:val="0"/>
        </w:rPr>
        <w:t xml:space="preserve">      </w:t>
      </w:r>
      <w:r>
        <w:rPr>
          <w:rFonts w:hint="eastAsia" w:ascii="Times New Roman" w:hAnsi="Times New Roman"/>
          <w:i/>
          <w:iCs/>
          <w:kern w:val="0"/>
        </w:rPr>
        <w:t>Z</w:t>
      </w:r>
      <w:r>
        <w:rPr>
          <w:rFonts w:hint="eastAsia" w:ascii="Times New Roman" w:hAnsi="Times New Roman"/>
          <w:kern w:val="0"/>
          <w:vertAlign w:val="subscript"/>
        </w:rPr>
        <w:t>im</w:t>
      </w:r>
      <w:r>
        <w:rPr>
          <w:rFonts w:ascii="Times New Roman" w:hAnsi="Times New Roman"/>
          <w:kern w:val="0"/>
        </w:rPr>
        <w:t>——</w:t>
      </w:r>
      <w:r>
        <w:rPr>
          <w:rFonts w:ascii="Times New Roman" w:hAnsi="Times New Roman"/>
        </w:rPr>
        <w:t>某测量组分</w:t>
      </w:r>
      <w:r>
        <w:rPr>
          <w:rFonts w:ascii="Times New Roman" w:hAnsi="Times New Roman"/>
          <w:kern w:val="0"/>
        </w:rPr>
        <w:t>第i点零点读数值</w:t>
      </w:r>
      <w:r>
        <w:rPr>
          <w:rFonts w:ascii="Times New Roman" w:hAnsi="Times New Roman"/>
        </w:rPr>
        <w:t>，</w:t>
      </w:r>
      <w:r>
        <w:rPr>
          <w:rFonts w:ascii="Times New Roman" w:hAnsi="Times New Roman"/>
          <w:kern w:val="0"/>
        </w:rPr>
        <w:t>单位为微摩尔每摩尔或毫克每立方米或百分含量</w:t>
      </w:r>
      <w:r>
        <w:rPr>
          <w:rFonts w:ascii="Times New Roman" w:hAnsi="Times New Roman"/>
        </w:rPr>
        <w:t>（μmol/mol、mg/m</w:t>
      </w:r>
      <w:r>
        <w:rPr>
          <w:rFonts w:ascii="Times New Roman" w:hAnsi="Times New Roman"/>
          <w:vertAlign w:val="superscript"/>
        </w:rPr>
        <w:t>3</w:t>
      </w:r>
      <w:r>
        <w:rPr>
          <w:rFonts w:ascii="Times New Roman" w:hAnsi="Times New Roman"/>
        </w:rPr>
        <w:t>或%）；</w:t>
      </w:r>
    </w:p>
    <w:p w14:paraId="6D00AC0C">
      <w:pPr>
        <w:spacing w:line="312" w:lineRule="auto"/>
        <w:ind w:firstLine="315" w:firstLineChars="150"/>
        <w:rPr>
          <w:rFonts w:ascii="Times New Roman" w:hAnsi="Times New Roman"/>
          <w:kern w:val="0"/>
        </w:rPr>
      </w:pPr>
      <w:r>
        <w:rPr>
          <w:rFonts w:hint="eastAsia" w:ascii="Times New Roman" w:hAnsi="Times New Roman"/>
          <w:i/>
          <w:iCs/>
          <w:kern w:val="0"/>
        </w:rPr>
        <w:t>Z</w:t>
      </w:r>
      <w:r>
        <w:rPr>
          <w:rFonts w:hint="eastAsia" w:ascii="Times New Roman" w:hAnsi="Times New Roman"/>
          <w:kern w:val="0"/>
          <w:vertAlign w:val="subscript"/>
        </w:rPr>
        <w:t>dm</w:t>
      </w:r>
      <w:r>
        <w:rPr>
          <w:rFonts w:ascii="Times New Roman" w:hAnsi="Times New Roman"/>
          <w:kern w:val="0"/>
        </w:rPr>
        <w:t>——</w:t>
      </w:r>
      <w:r>
        <w:rPr>
          <w:rFonts w:ascii="Times New Roman" w:hAnsi="Times New Roman"/>
        </w:rPr>
        <w:t>某测量组分</w:t>
      </w:r>
      <w:r>
        <w:rPr>
          <w:rFonts w:ascii="Times New Roman" w:hAnsi="Times New Roman"/>
          <w:kern w:val="0"/>
        </w:rPr>
        <w:t>零点漂移</w:t>
      </w:r>
      <w:r>
        <w:rPr>
          <w:rFonts w:ascii="Times New Roman" w:hAnsi="Times New Roman"/>
        </w:rPr>
        <w:t>，用满量程的百分比表示</w:t>
      </w:r>
      <w:r>
        <w:rPr>
          <w:rFonts w:ascii="Times New Roman" w:hAnsi="Times New Roman"/>
          <w:kern w:val="0"/>
        </w:rPr>
        <w:t>；</w:t>
      </w:r>
    </w:p>
    <w:p w14:paraId="4DD52F63">
      <w:pPr>
        <w:spacing w:line="312" w:lineRule="auto"/>
        <w:ind w:firstLine="315" w:firstLineChars="150"/>
        <w:rPr>
          <w:rFonts w:ascii="Times New Roman" w:hAnsi="Times New Roman"/>
          <w:kern w:val="0"/>
        </w:rPr>
      </w:pPr>
      <w:r>
        <w:rPr>
          <w:rFonts w:hint="eastAsia" w:ascii="Times New Roman" w:hAnsi="Times New Roman"/>
          <w:kern w:val="0"/>
        </w:rPr>
        <w:t>Δ</w:t>
      </w:r>
      <w:r>
        <w:rPr>
          <w:rFonts w:hint="eastAsia" w:ascii="Times New Roman" w:hAnsi="Times New Roman"/>
          <w:i/>
          <w:iCs/>
          <w:kern w:val="0"/>
        </w:rPr>
        <w:t>Z</w:t>
      </w:r>
      <w:r>
        <w:rPr>
          <w:rFonts w:ascii="Times New Roman" w:hAnsi="Times New Roman"/>
          <w:kern w:val="0"/>
        </w:rPr>
        <w:t>——</w:t>
      </w:r>
      <w:r>
        <w:rPr>
          <w:rFonts w:ascii="Times New Roman" w:hAnsi="Times New Roman"/>
        </w:rPr>
        <w:t>某测量组分</w:t>
      </w:r>
      <w:r>
        <w:rPr>
          <w:rFonts w:ascii="Times New Roman" w:hAnsi="Times New Roman"/>
          <w:kern w:val="0"/>
        </w:rPr>
        <w:t>零点漂移绝对误差</w:t>
      </w:r>
      <w:r>
        <w:rPr>
          <w:rFonts w:ascii="Times New Roman" w:hAnsi="Times New Roman"/>
        </w:rPr>
        <w:t>，</w:t>
      </w:r>
      <w:r>
        <w:rPr>
          <w:rFonts w:ascii="Times New Roman" w:hAnsi="Times New Roman"/>
          <w:kern w:val="0"/>
        </w:rPr>
        <w:t>单位为微摩尔每摩尔或毫克每立方米或百分含量</w:t>
      </w:r>
      <w:r>
        <w:rPr>
          <w:rFonts w:ascii="Times New Roman" w:hAnsi="Times New Roman"/>
        </w:rPr>
        <w:t>（μmol/mol、mg/m</w:t>
      </w:r>
      <w:r>
        <w:rPr>
          <w:rFonts w:ascii="Times New Roman" w:hAnsi="Times New Roman"/>
          <w:vertAlign w:val="superscript"/>
        </w:rPr>
        <w:t>3</w:t>
      </w:r>
      <w:r>
        <w:rPr>
          <w:rFonts w:ascii="Times New Roman" w:hAnsi="Times New Roman"/>
        </w:rPr>
        <w:t>或%）；</w:t>
      </w:r>
    </w:p>
    <w:p w14:paraId="0687C727">
      <w:pPr>
        <w:spacing w:line="312" w:lineRule="auto"/>
        <w:ind w:firstLine="420" w:firstLineChars="200"/>
        <w:rPr>
          <w:rFonts w:ascii="Times New Roman" w:hAnsi="Times New Roman"/>
          <w:kern w:val="0"/>
        </w:rPr>
      </w:pPr>
      <w:r>
        <w:rPr>
          <w:rFonts w:ascii="Times New Roman" w:hAnsi="Times New Roman"/>
          <w:i/>
        </w:rPr>
        <w:t>R</w:t>
      </w:r>
      <w:r>
        <w:rPr>
          <w:rFonts w:ascii="Times New Roman" w:hAnsi="Times New Roman"/>
          <w:iCs/>
          <w:vertAlign w:val="subscript"/>
        </w:rPr>
        <w:t>m</w:t>
      </w:r>
      <w:r>
        <w:rPr>
          <w:rFonts w:ascii="Times New Roman" w:hAnsi="Times New Roman"/>
        </w:rPr>
        <w:t>——仪器某测量组分满量程值，</w:t>
      </w:r>
      <w:r>
        <w:rPr>
          <w:rFonts w:ascii="Times New Roman" w:hAnsi="Times New Roman"/>
          <w:kern w:val="0"/>
        </w:rPr>
        <w:t>单位为微摩尔每摩尔或毫克每立方米或百分含量</w:t>
      </w:r>
      <w:r>
        <w:rPr>
          <w:rFonts w:ascii="Times New Roman" w:hAnsi="Times New Roman"/>
        </w:rPr>
        <w:t>（μmol/mol、mg/m</w:t>
      </w:r>
      <w:r>
        <w:rPr>
          <w:rFonts w:ascii="Times New Roman" w:hAnsi="Times New Roman"/>
          <w:vertAlign w:val="superscript"/>
        </w:rPr>
        <w:t>3</w:t>
      </w:r>
      <w:r>
        <w:rPr>
          <w:rFonts w:ascii="Times New Roman" w:hAnsi="Times New Roman"/>
        </w:rPr>
        <w:t>或%）。</w:t>
      </w:r>
    </w:p>
    <w:p w14:paraId="21EFE302">
      <w:pPr>
        <w:spacing w:line="312" w:lineRule="auto"/>
        <w:ind w:firstLine="420" w:firstLineChars="200"/>
        <w:rPr>
          <w:rFonts w:ascii="Times New Roman" w:hAnsi="Times New Roman"/>
          <w:kern w:val="0"/>
        </w:rPr>
      </w:pPr>
      <w:r>
        <w:rPr>
          <w:rFonts w:ascii="Times New Roman" w:hAnsi="Times New Roman"/>
          <w:kern w:val="0"/>
        </w:rPr>
        <w:t>按式（8）计算量程漂移。</w:t>
      </w:r>
    </w:p>
    <w:p w14:paraId="0AE49447">
      <w:pPr>
        <w:spacing w:line="312" w:lineRule="auto"/>
        <w:ind w:firstLine="3780" w:firstLineChars="1800"/>
        <w:textAlignment w:val="center"/>
        <w:rPr>
          <w:rFonts w:ascii="Times New Roman" w:hAnsi="Times New Roman"/>
          <w:position w:val="-12"/>
        </w:rPr>
      </w:pPr>
      <w:r>
        <w:rPr>
          <w:rFonts w:ascii="Times New Roman" w:hAnsi="Times New Roman"/>
          <w:position w:val="-12"/>
        </w:rPr>
        <w:object>
          <v:shape id="_x0000_i1037" o:spt="75" type="#_x0000_t75" style="height:18pt;width:78pt;" o:ole="t" filled="f" o:preferrelative="t" stroked="f" coordsize="21600,21600">
            <v:path/>
            <v:fill on="f" focussize="0,0"/>
            <v:stroke on="f" joinstyle="miter"/>
            <v:imagedata r:id="rId43" o:title=""/>
            <o:lock v:ext="edit" aspectratio="t"/>
            <w10:wrap type="none"/>
            <w10:anchorlock/>
          </v:shape>
          <o:OLEObject Type="Embed" ProgID="Equation.3" ShapeID="_x0000_i1037" DrawAspect="Content" ObjectID="_1468075737" r:id="rId42">
            <o:LockedField>false</o:LockedField>
          </o:OLEObject>
        </w:object>
      </w:r>
    </w:p>
    <w:p w14:paraId="7E192561">
      <w:pPr>
        <w:spacing w:line="312" w:lineRule="auto"/>
        <w:ind w:firstLine="420" w:firstLineChars="200"/>
        <w:jc w:val="right"/>
        <w:textAlignment w:val="center"/>
        <w:rPr>
          <w:rFonts w:ascii="Times New Roman" w:hAnsi="Times New Roman"/>
          <w:position w:val="-12"/>
        </w:rPr>
      </w:pPr>
      <w:r>
        <w:rPr>
          <w:rFonts w:ascii="Times New Roman" w:hAnsi="Times New Roman"/>
          <w:position w:val="-30"/>
        </w:rPr>
        <w:object>
          <v:shape id="_x0000_i1038" o:spt="75" type="#_x0000_t75" style="height:34.2pt;width:93pt;" o:ole="t" filled="f" o:preferrelative="t" stroked="f" coordsize="21600,21600">
            <v:path/>
            <v:fill on="f" focussize="0,0"/>
            <v:stroke on="f" joinstyle="miter"/>
            <v:imagedata r:id="rId45" o:title=""/>
            <o:lock v:ext="edit" aspectratio="t"/>
            <w10:wrap type="none"/>
            <w10:anchorlock/>
          </v:shape>
          <o:OLEObject Type="Embed" ProgID="Equation.3" ShapeID="_x0000_i1038" DrawAspect="Content" ObjectID="_1468075738" r:id="rId44">
            <o:LockedField>false</o:LockedField>
          </o:OLEObject>
        </w:object>
      </w:r>
      <w:r>
        <w:rPr>
          <w:rFonts w:ascii="Times New Roman" w:hAnsi="Times New Roman"/>
        </w:rPr>
        <w:t>……………………………………… （8）</w:t>
      </w:r>
    </w:p>
    <w:p w14:paraId="25BC0648">
      <w:pPr>
        <w:spacing w:line="312" w:lineRule="auto"/>
        <w:ind w:firstLine="420" w:firstLineChars="200"/>
        <w:rPr>
          <w:rFonts w:ascii="Times New Roman" w:hAnsi="Times New Roman"/>
          <w:kern w:val="0"/>
        </w:rPr>
      </w:pPr>
      <w:r>
        <w:rPr>
          <w:rFonts w:ascii="Times New Roman" w:hAnsi="Times New Roman"/>
          <w:kern w:val="0"/>
        </w:rPr>
        <w:t>式中：</w:t>
      </w:r>
    </w:p>
    <w:p w14:paraId="3949BE5D">
      <w:pPr>
        <w:spacing w:line="312" w:lineRule="auto"/>
        <w:ind w:firstLine="420" w:firstLineChars="200"/>
        <w:rPr>
          <w:rFonts w:ascii="Times New Roman" w:hAnsi="Times New Roman"/>
        </w:rPr>
      </w:pPr>
      <w:r>
        <w:rPr>
          <w:rFonts w:hint="eastAsia" w:ascii="Times New Roman" w:hAnsi="Times New Roman"/>
          <w:i/>
          <w:iCs/>
          <w:kern w:val="0"/>
        </w:rPr>
        <w:t>S</w:t>
      </w:r>
      <w:r>
        <w:rPr>
          <w:rFonts w:hint="eastAsia" w:ascii="Times New Roman" w:hAnsi="Times New Roman"/>
          <w:kern w:val="0"/>
          <w:vertAlign w:val="subscript"/>
        </w:rPr>
        <w:t>0m</w:t>
      </w:r>
      <w:r>
        <w:rPr>
          <w:rFonts w:ascii="Times New Roman" w:hAnsi="Times New Roman"/>
          <w:kern w:val="0"/>
        </w:rPr>
        <w:t>——</w:t>
      </w:r>
      <w:r>
        <w:rPr>
          <w:rFonts w:ascii="Times New Roman" w:hAnsi="Times New Roman"/>
        </w:rPr>
        <w:t>某测量组分</w:t>
      </w:r>
      <w:r>
        <w:rPr>
          <w:rFonts w:ascii="Times New Roman" w:hAnsi="Times New Roman"/>
          <w:kern w:val="0"/>
        </w:rPr>
        <w:t>量程读数初始值</w:t>
      </w:r>
      <w:r>
        <w:rPr>
          <w:rFonts w:ascii="Times New Roman" w:hAnsi="Times New Roman"/>
        </w:rPr>
        <w:t>，</w:t>
      </w:r>
      <w:r>
        <w:rPr>
          <w:rFonts w:ascii="Times New Roman" w:hAnsi="Times New Roman"/>
          <w:kern w:val="0"/>
        </w:rPr>
        <w:t>单位为微摩尔每摩尔或毫克每立方米或百分含量</w:t>
      </w:r>
      <w:r>
        <w:rPr>
          <w:rFonts w:ascii="Times New Roman" w:hAnsi="Times New Roman"/>
        </w:rPr>
        <w:t>（μmol/mol、mg/m</w:t>
      </w:r>
      <w:r>
        <w:rPr>
          <w:rFonts w:ascii="Times New Roman" w:hAnsi="Times New Roman"/>
          <w:vertAlign w:val="superscript"/>
        </w:rPr>
        <w:t>3</w:t>
      </w:r>
      <w:r>
        <w:rPr>
          <w:rFonts w:ascii="Times New Roman" w:hAnsi="Times New Roman"/>
        </w:rPr>
        <w:t>或%）；</w:t>
      </w:r>
    </w:p>
    <w:p w14:paraId="5D18D731">
      <w:pPr>
        <w:spacing w:line="312" w:lineRule="auto"/>
        <w:rPr>
          <w:rFonts w:ascii="Times New Roman" w:hAnsi="Times New Roman"/>
          <w:kern w:val="0"/>
        </w:rPr>
      </w:pPr>
      <w:r>
        <w:rPr>
          <w:rFonts w:ascii="Times New Roman" w:hAnsi="Times New Roman"/>
          <w:kern w:val="0"/>
        </w:rPr>
        <w:t xml:space="preserve">       </w:t>
      </w:r>
      <w:r>
        <w:rPr>
          <w:rFonts w:hint="eastAsia" w:ascii="Times New Roman" w:hAnsi="Times New Roman"/>
          <w:i/>
          <w:iCs/>
          <w:kern w:val="0"/>
        </w:rPr>
        <w:t>S</w:t>
      </w:r>
      <w:r>
        <w:rPr>
          <w:rFonts w:hint="eastAsia" w:ascii="Times New Roman" w:hAnsi="Times New Roman"/>
          <w:kern w:val="0"/>
          <w:vertAlign w:val="subscript"/>
        </w:rPr>
        <w:t>im</w:t>
      </w:r>
      <w:r>
        <w:rPr>
          <w:rFonts w:ascii="Times New Roman" w:hAnsi="Times New Roman"/>
          <w:kern w:val="0"/>
        </w:rPr>
        <w:t>——</w:t>
      </w:r>
      <w:r>
        <w:rPr>
          <w:rFonts w:ascii="Times New Roman" w:hAnsi="Times New Roman"/>
        </w:rPr>
        <w:t>某测量组分</w:t>
      </w:r>
      <w:r>
        <w:rPr>
          <w:rFonts w:ascii="Times New Roman" w:hAnsi="Times New Roman"/>
          <w:kern w:val="0"/>
        </w:rPr>
        <w:t>第i点量程读数值</w:t>
      </w:r>
      <w:r>
        <w:rPr>
          <w:rFonts w:ascii="Times New Roman" w:hAnsi="Times New Roman"/>
        </w:rPr>
        <w:t>，</w:t>
      </w:r>
      <w:r>
        <w:rPr>
          <w:rFonts w:ascii="Times New Roman" w:hAnsi="Times New Roman"/>
          <w:kern w:val="0"/>
        </w:rPr>
        <w:t>单位为微摩尔每摩尔或毫克每立方米或百分含量</w:t>
      </w:r>
      <w:r>
        <w:rPr>
          <w:rFonts w:ascii="Times New Roman" w:hAnsi="Times New Roman"/>
        </w:rPr>
        <w:t>（μmol/mol、mg/m</w:t>
      </w:r>
      <w:r>
        <w:rPr>
          <w:rFonts w:ascii="Times New Roman" w:hAnsi="Times New Roman"/>
          <w:vertAlign w:val="superscript"/>
        </w:rPr>
        <w:t>3</w:t>
      </w:r>
      <w:r>
        <w:rPr>
          <w:rFonts w:ascii="Times New Roman" w:hAnsi="Times New Roman"/>
        </w:rPr>
        <w:t>或%）；</w:t>
      </w:r>
    </w:p>
    <w:p w14:paraId="1D0451BD">
      <w:pPr>
        <w:spacing w:line="312" w:lineRule="auto"/>
        <w:ind w:firstLine="420"/>
        <w:rPr>
          <w:rFonts w:ascii="Times New Roman" w:hAnsi="Times New Roman"/>
          <w:kern w:val="0"/>
        </w:rPr>
      </w:pPr>
      <w:r>
        <w:rPr>
          <w:rFonts w:ascii="Times New Roman" w:hAnsi="Times New Roman"/>
          <w:kern w:val="0"/>
        </w:rPr>
        <w:t> </w:t>
      </w:r>
      <w:r>
        <w:rPr>
          <w:rFonts w:hint="eastAsia" w:ascii="Times New Roman" w:hAnsi="Times New Roman"/>
          <w:i/>
          <w:iCs/>
          <w:kern w:val="0"/>
        </w:rPr>
        <w:t>S</w:t>
      </w:r>
      <w:r>
        <w:rPr>
          <w:rFonts w:hint="eastAsia" w:ascii="Times New Roman" w:hAnsi="Times New Roman"/>
          <w:kern w:val="0"/>
          <w:vertAlign w:val="subscript"/>
        </w:rPr>
        <w:t>dm</w:t>
      </w:r>
      <w:r>
        <w:rPr>
          <w:rFonts w:ascii="Times New Roman" w:hAnsi="Times New Roman"/>
          <w:kern w:val="0"/>
        </w:rPr>
        <w:t>——</w:t>
      </w:r>
      <w:r>
        <w:rPr>
          <w:rFonts w:ascii="Times New Roman" w:hAnsi="Times New Roman"/>
        </w:rPr>
        <w:t>某测量组分</w:t>
      </w:r>
      <w:r>
        <w:rPr>
          <w:rFonts w:ascii="Times New Roman" w:hAnsi="Times New Roman"/>
          <w:kern w:val="0"/>
        </w:rPr>
        <w:t>量程漂移</w:t>
      </w:r>
      <w:r>
        <w:rPr>
          <w:rFonts w:ascii="Times New Roman" w:hAnsi="Times New Roman"/>
        </w:rPr>
        <w:t>，用满量程的百分比表示</w:t>
      </w:r>
      <w:r>
        <w:rPr>
          <w:rFonts w:ascii="Times New Roman" w:hAnsi="Times New Roman"/>
          <w:kern w:val="0"/>
        </w:rPr>
        <w:t>；</w:t>
      </w:r>
    </w:p>
    <w:p w14:paraId="49C07875">
      <w:pPr>
        <w:spacing w:line="312" w:lineRule="auto"/>
        <w:ind w:firstLine="420" w:firstLineChars="200"/>
        <w:rPr>
          <w:rFonts w:ascii="Times New Roman" w:hAnsi="Times New Roman"/>
          <w:kern w:val="0"/>
        </w:rPr>
      </w:pPr>
      <w:r>
        <w:rPr>
          <w:rFonts w:hint="eastAsia" w:ascii="Times New Roman" w:hAnsi="Times New Roman"/>
          <w:kern w:val="0"/>
        </w:rPr>
        <w:t>Δ</w:t>
      </w:r>
      <w:r>
        <w:rPr>
          <w:rFonts w:hint="eastAsia" w:ascii="Times New Roman" w:hAnsi="Times New Roman"/>
          <w:i/>
          <w:iCs/>
          <w:kern w:val="0"/>
        </w:rPr>
        <w:t>S</w:t>
      </w:r>
      <w:r>
        <w:rPr>
          <w:rFonts w:ascii="Times New Roman" w:hAnsi="Times New Roman"/>
          <w:kern w:val="0"/>
        </w:rPr>
        <w:t>——</w:t>
      </w:r>
      <w:r>
        <w:rPr>
          <w:rFonts w:ascii="Times New Roman" w:hAnsi="Times New Roman"/>
        </w:rPr>
        <w:t>某测量组分</w:t>
      </w:r>
      <w:r>
        <w:rPr>
          <w:rFonts w:ascii="Times New Roman" w:hAnsi="Times New Roman"/>
          <w:kern w:val="0"/>
        </w:rPr>
        <w:t>量程漂移绝对误差</w:t>
      </w:r>
      <w:r>
        <w:rPr>
          <w:rFonts w:ascii="Times New Roman" w:hAnsi="Times New Roman"/>
        </w:rPr>
        <w:t>，</w:t>
      </w:r>
      <w:r>
        <w:rPr>
          <w:rFonts w:ascii="Times New Roman" w:hAnsi="Times New Roman"/>
          <w:kern w:val="0"/>
        </w:rPr>
        <w:t>单位为微摩尔每摩尔或毫克每立方米或百分含量</w:t>
      </w:r>
      <w:r>
        <w:rPr>
          <w:rFonts w:ascii="Times New Roman" w:hAnsi="Times New Roman"/>
        </w:rPr>
        <w:t>（μmol/mol、mg/m</w:t>
      </w:r>
      <w:r>
        <w:rPr>
          <w:rFonts w:ascii="Times New Roman" w:hAnsi="Times New Roman"/>
          <w:vertAlign w:val="superscript"/>
        </w:rPr>
        <w:t>3</w:t>
      </w:r>
      <w:r>
        <w:rPr>
          <w:rFonts w:ascii="Times New Roman" w:hAnsi="Times New Roman"/>
        </w:rPr>
        <w:t>或%）；</w:t>
      </w:r>
    </w:p>
    <w:p w14:paraId="77D9EE34">
      <w:pPr>
        <w:spacing w:line="312" w:lineRule="auto"/>
        <w:ind w:firstLine="420" w:firstLineChars="200"/>
        <w:rPr>
          <w:rFonts w:ascii="Times New Roman" w:hAnsi="Times New Roman"/>
          <w:kern w:val="0"/>
        </w:rPr>
      </w:pPr>
      <w:r>
        <w:rPr>
          <w:rFonts w:ascii="Times New Roman" w:hAnsi="Times New Roman"/>
          <w:i/>
        </w:rPr>
        <w:t>R</w:t>
      </w:r>
      <w:r>
        <w:rPr>
          <w:rFonts w:ascii="Times New Roman" w:hAnsi="Times New Roman"/>
          <w:iCs/>
          <w:vertAlign w:val="subscript"/>
        </w:rPr>
        <w:t>m</w:t>
      </w:r>
      <w:r>
        <w:rPr>
          <w:rFonts w:ascii="Times New Roman" w:hAnsi="Times New Roman"/>
        </w:rPr>
        <w:t>——仪器某测量组分满量程值，</w:t>
      </w:r>
      <w:r>
        <w:rPr>
          <w:rFonts w:ascii="Times New Roman" w:hAnsi="Times New Roman"/>
          <w:kern w:val="0"/>
        </w:rPr>
        <w:t>单位为微摩尔每摩尔或毫克每立方米或百分含量</w:t>
      </w:r>
      <w:r>
        <w:rPr>
          <w:rFonts w:ascii="Times New Roman" w:hAnsi="Times New Roman"/>
        </w:rPr>
        <w:t>（μmol/mol、mg/m</w:t>
      </w:r>
      <w:r>
        <w:rPr>
          <w:rFonts w:ascii="Times New Roman" w:hAnsi="Times New Roman"/>
          <w:vertAlign w:val="superscript"/>
        </w:rPr>
        <w:t>3</w:t>
      </w:r>
      <w:r>
        <w:rPr>
          <w:rFonts w:ascii="Times New Roman" w:hAnsi="Times New Roman"/>
        </w:rPr>
        <w:t>或%）。</w:t>
      </w:r>
    </w:p>
    <w:p w14:paraId="7E942896">
      <w:pPr>
        <w:pStyle w:val="238"/>
        <w:numPr>
          <w:ilvl w:val="2"/>
          <w:numId w:val="37"/>
        </w:numPr>
        <w:spacing w:before="120" w:after="120"/>
        <w:rPr>
          <w:rFonts w:ascii="Times New Roman" w:hAnsi="Times New Roman"/>
        </w:rPr>
      </w:pPr>
      <w:r>
        <w:rPr>
          <w:rFonts w:ascii="Times New Roman" w:hAnsi="Times New Roman"/>
        </w:rPr>
        <w:t>干扰成分的影响</w:t>
      </w:r>
    </w:p>
    <w:p w14:paraId="14E611AF">
      <w:pPr>
        <w:pStyle w:val="234"/>
        <w:spacing w:line="312" w:lineRule="auto"/>
        <w:rPr>
          <w:rFonts w:ascii="Times New Roman"/>
        </w:rPr>
      </w:pPr>
      <w:bookmarkStart w:id="54" w:name="_Hlk168408031"/>
      <w:r>
        <w:rPr>
          <w:rFonts w:ascii="Times New Roman"/>
        </w:rPr>
        <w:t>干扰测试气体见表1。通入零点气体，记录仪器读数</w:t>
      </w:r>
      <w:r>
        <w:rPr>
          <w:rFonts w:ascii="Times New Roman"/>
          <w:i/>
          <w:iCs/>
        </w:rPr>
        <w:t>a</w:t>
      </w:r>
      <w:r>
        <w:rPr>
          <w:rFonts w:ascii="Times New Roman"/>
        </w:rPr>
        <w:t>；通入规定浓度的干扰气体，记录仪器读数b。零点气体和每种干扰气体按上述操作重复测试3次，计算平均值</w:t>
      </w:r>
      <w:r>
        <w:rPr>
          <w:rFonts w:ascii="Times New Roman"/>
          <w:position w:val="-6"/>
        </w:rPr>
        <w:object>
          <v:shape id="_x0000_i1039" o:spt="75" type="#_x0000_t75" style="height:17.4pt;width:10.8pt;" o:ole="t" filled="f" o:preferrelative="t" stroked="f" coordsize="21600,21600">
            <v:path/>
            <v:fill on="f" focussize="0,0"/>
            <v:stroke on="f" joinstyle="miter"/>
            <v:imagedata r:id="rId47" o:title=""/>
            <o:lock v:ext="edit" aspectratio="t"/>
            <w10:wrap type="none"/>
            <w10:anchorlock/>
          </v:shape>
          <o:OLEObject Type="Embed" ProgID="Equation.3" ShapeID="_x0000_i1039" DrawAspect="Content" ObjectID="_1468075739" r:id="rId46">
            <o:LockedField>false</o:LockedField>
          </o:OLEObject>
        </w:object>
      </w:r>
      <w:r>
        <w:rPr>
          <w:rFonts w:ascii="Times New Roman"/>
        </w:rPr>
        <w:t>和</w:t>
      </w:r>
      <w:r>
        <w:rPr>
          <w:rFonts w:ascii="Times New Roman"/>
          <w:position w:val="-12"/>
        </w:rPr>
        <w:object>
          <v:shape id="_x0000_i1040" o:spt="75" type="#_x0000_t75" style="height:19.8pt;width:12pt;" o:ole="t" filled="f" o:preferrelative="t" stroked="f" coordsize="21600,21600">
            <v:path/>
            <v:fill on="f" focussize="0,0"/>
            <v:stroke on="f" joinstyle="miter"/>
            <v:imagedata r:id="rId49" o:title=""/>
            <o:lock v:ext="edit" aspectratio="t"/>
            <w10:wrap type="none"/>
            <w10:anchorlock/>
          </v:shape>
          <o:OLEObject Type="Embed" ProgID="Equation.3" ShapeID="_x0000_i1040" DrawAspect="Content" ObjectID="_1468075740" r:id="rId48">
            <o:LockedField>false</o:LockedField>
          </o:OLEObject>
        </w:object>
      </w:r>
      <w:r>
        <w:rPr>
          <w:rFonts w:ascii="Times New Roman"/>
        </w:rPr>
        <w:t>,按公式(9)计算仪器每种干扰气体干扰成分的影响</w:t>
      </w:r>
      <w:r>
        <w:rPr>
          <w:rFonts w:ascii="Times New Roman"/>
          <w:i/>
          <w:iCs/>
        </w:rPr>
        <w:t>IE</w:t>
      </w:r>
      <w:r>
        <w:rPr>
          <w:rFonts w:ascii="Times New Roman"/>
          <w:i/>
          <w:iCs/>
          <w:vertAlign w:val="subscript"/>
        </w:rPr>
        <w:t>i</w:t>
      </w:r>
      <w:r>
        <w:rPr>
          <w:rFonts w:ascii="Times New Roman"/>
        </w:rPr>
        <w:t>；将大于满量程值0.5%的正干扰值相加可得到正干扰影响值，将小于满量程值-0.5%的负干扰值相加，得到负干扰影响值；均应符合4.6.6的要求。</w:t>
      </w:r>
    </w:p>
    <w:p w14:paraId="59411E8B">
      <w:pPr>
        <w:pStyle w:val="234"/>
        <w:spacing w:line="312" w:lineRule="auto"/>
        <w:jc w:val="right"/>
        <w:rPr>
          <w:rFonts w:ascii="Times New Roman"/>
        </w:rPr>
      </w:pPr>
      <w:r>
        <w:rPr>
          <w:rFonts w:ascii="Times New Roman"/>
          <w:position w:val="-30"/>
        </w:rPr>
        <w:object>
          <v:shape id="_x0000_i1041" o:spt="75" type="#_x0000_t75" style="height:39pt;width:114pt;" o:ole="t" filled="f" o:preferrelative="t" stroked="f" coordsize="21600,21600">
            <v:path/>
            <v:fill on="f" focussize="0,0"/>
            <v:stroke on="f" joinstyle="miter"/>
            <v:imagedata r:id="rId51" o:title=""/>
            <o:lock v:ext="edit" aspectratio="t"/>
            <w10:wrap type="none"/>
            <w10:anchorlock/>
          </v:shape>
          <o:OLEObject Type="Embed" ProgID="Equation.3" ShapeID="_x0000_i1041" DrawAspect="Content" ObjectID="_1468075741" r:id="rId50">
            <o:LockedField>false</o:LockedField>
          </o:OLEObject>
        </w:object>
      </w:r>
      <w:r>
        <w:rPr>
          <w:rFonts w:ascii="Times New Roman"/>
        </w:rPr>
        <w:t>…………………………………… （9）</w:t>
      </w:r>
    </w:p>
    <w:p w14:paraId="323DAEA3">
      <w:pPr>
        <w:pStyle w:val="234"/>
        <w:spacing w:line="312" w:lineRule="auto"/>
        <w:rPr>
          <w:rFonts w:ascii="Times New Roman"/>
        </w:rPr>
      </w:pPr>
      <w:r>
        <w:rPr>
          <w:rFonts w:ascii="Times New Roman"/>
        </w:rPr>
        <w:t>式中：</w:t>
      </w:r>
    </w:p>
    <w:p w14:paraId="03616B86">
      <w:pPr>
        <w:pStyle w:val="234"/>
        <w:spacing w:line="312" w:lineRule="auto"/>
        <w:rPr>
          <w:rFonts w:ascii="Times New Roman"/>
        </w:rPr>
      </w:pPr>
      <w:r>
        <w:rPr>
          <w:rFonts w:ascii="Times New Roman"/>
          <w:i/>
          <w:iCs/>
        </w:rPr>
        <w:t>IE</w:t>
      </w:r>
      <w:r>
        <w:rPr>
          <w:rFonts w:ascii="Times New Roman"/>
          <w:i/>
          <w:iCs/>
          <w:vertAlign w:val="subscript"/>
        </w:rPr>
        <w:t>j</w:t>
      </w:r>
      <w:r>
        <w:rPr>
          <w:rFonts w:hint="eastAsia" w:ascii="Times New Roman"/>
          <w:i/>
          <w:iCs/>
          <w:vertAlign w:val="subscript"/>
        </w:rPr>
        <w:t>m</w:t>
      </w:r>
      <w:r>
        <w:rPr>
          <w:rFonts w:ascii="Times New Roman"/>
        </w:rPr>
        <w:t>——仪器某测量组分测量第j种干扰气体干扰成分的影响，用</w:t>
      </w:r>
      <w:r>
        <w:rPr>
          <w:rFonts w:ascii="Times New Roman"/>
          <w:szCs w:val="21"/>
        </w:rPr>
        <w:t>满量程的百分比</w:t>
      </w:r>
      <w:r>
        <w:rPr>
          <w:rFonts w:ascii="Times New Roman"/>
        </w:rPr>
        <w:t>表示；</w:t>
      </w:r>
    </w:p>
    <w:p w14:paraId="4B66B205">
      <w:pPr>
        <w:pStyle w:val="234"/>
        <w:spacing w:line="312" w:lineRule="auto"/>
        <w:rPr>
          <w:rFonts w:ascii="Times New Roman"/>
        </w:rPr>
      </w:pPr>
      <w:r>
        <w:rPr>
          <w:rFonts w:ascii="Times New Roman"/>
          <w:position w:val="-14"/>
        </w:rPr>
        <w:object>
          <v:shape id="_x0000_i1042" o:spt="75" type="#_x0000_t75" style="height:20.4pt;width:18pt;" o:ole="t" filled="f" o:preferrelative="t" stroked="f" coordsize="21600,21600">
            <v:path/>
            <v:fill on="f" focussize="0,0"/>
            <v:stroke on="f" joinstyle="miter"/>
            <v:imagedata r:id="rId53" o:title=""/>
            <o:lock v:ext="edit" aspectratio="t"/>
            <w10:wrap type="none"/>
            <w10:anchorlock/>
          </v:shape>
          <o:OLEObject Type="Embed" ProgID="Equation.3" ShapeID="_x0000_i1042" DrawAspect="Content" ObjectID="_1468075742" r:id="rId52">
            <o:LockedField>false</o:LockedField>
          </o:OLEObject>
        </w:object>
      </w:r>
      <w:r>
        <w:rPr>
          <w:rFonts w:ascii="Times New Roman"/>
        </w:rPr>
        <w:t>——某测量组分第j种干扰气体3次测量的平均值，</w:t>
      </w:r>
      <w:r>
        <w:rPr>
          <w:rFonts w:ascii="Times New Roman"/>
          <w:szCs w:val="21"/>
        </w:rPr>
        <w:t>单位为</w:t>
      </w:r>
      <w:r>
        <w:rPr>
          <w:rFonts w:ascii="Times New Roman"/>
        </w:rPr>
        <w:t>微摩尔每摩尔或毫克每立方米或百分含量（μmol/mol、mg/m</w:t>
      </w:r>
      <w:r>
        <w:rPr>
          <w:rFonts w:ascii="Times New Roman"/>
          <w:vertAlign w:val="superscript"/>
        </w:rPr>
        <w:t>3</w:t>
      </w:r>
      <w:r>
        <w:rPr>
          <w:rFonts w:ascii="Times New Roman"/>
        </w:rPr>
        <w:t>或%）；</w:t>
      </w:r>
    </w:p>
    <w:p w14:paraId="3DC84874">
      <w:pPr>
        <w:pStyle w:val="234"/>
        <w:spacing w:line="312" w:lineRule="auto"/>
        <w:rPr>
          <w:rFonts w:ascii="Times New Roman"/>
        </w:rPr>
      </w:pPr>
      <w:r>
        <w:rPr>
          <w:rFonts w:ascii="Times New Roman"/>
          <w:position w:val="-10"/>
        </w:rPr>
        <w:object>
          <v:shape id="_x0000_i1043" o:spt="75" type="#_x0000_t75" style="height:19.2pt;width:18pt;" o:ole="t" filled="f" o:preferrelative="t" stroked="f" coordsize="21600,21600">
            <v:path/>
            <v:fill on="f" focussize="0,0"/>
            <v:stroke on="f" joinstyle="miter"/>
            <v:imagedata r:id="rId55" o:title=""/>
            <o:lock v:ext="edit" aspectratio="t"/>
            <w10:wrap type="none"/>
            <w10:anchorlock/>
          </v:shape>
          <o:OLEObject Type="Embed" ProgID="Equation.3" ShapeID="_x0000_i1043" DrawAspect="Content" ObjectID="_1468075743" r:id="rId54">
            <o:LockedField>false</o:LockedField>
          </o:OLEObject>
        </w:object>
      </w:r>
      <w:r>
        <w:rPr>
          <w:rFonts w:ascii="Times New Roman"/>
        </w:rPr>
        <w:t>——某测量组分零点气体3次测量平均值，</w:t>
      </w:r>
      <w:r>
        <w:rPr>
          <w:rFonts w:ascii="Times New Roman"/>
          <w:szCs w:val="21"/>
        </w:rPr>
        <w:t>单位为</w:t>
      </w:r>
      <w:r>
        <w:rPr>
          <w:rFonts w:ascii="Times New Roman"/>
        </w:rPr>
        <w:t>微摩尔每摩尔或毫克每立方米或百分含量（μmol/mol、mg/m</w:t>
      </w:r>
      <w:r>
        <w:rPr>
          <w:rFonts w:ascii="Times New Roman"/>
          <w:vertAlign w:val="superscript"/>
        </w:rPr>
        <w:t>3</w:t>
      </w:r>
      <w:r>
        <w:rPr>
          <w:rFonts w:ascii="Times New Roman"/>
        </w:rPr>
        <w:t>或%）；</w:t>
      </w:r>
    </w:p>
    <w:p w14:paraId="47904D6D">
      <w:pPr>
        <w:spacing w:line="312" w:lineRule="auto"/>
        <w:ind w:firstLine="420" w:firstLineChars="200"/>
        <w:rPr>
          <w:rFonts w:ascii="Times New Roman" w:hAnsi="Times New Roman"/>
          <w:kern w:val="0"/>
        </w:rPr>
      </w:pPr>
      <w:r>
        <w:rPr>
          <w:rFonts w:ascii="Times New Roman" w:hAnsi="Times New Roman"/>
          <w:i/>
        </w:rPr>
        <w:t>R</w:t>
      </w:r>
      <w:r>
        <w:rPr>
          <w:rFonts w:ascii="Times New Roman" w:hAnsi="Times New Roman"/>
          <w:iCs/>
          <w:vertAlign w:val="subscript"/>
        </w:rPr>
        <w:t>m</w:t>
      </w:r>
      <w:r>
        <w:rPr>
          <w:rFonts w:ascii="Times New Roman" w:hAnsi="Times New Roman"/>
        </w:rPr>
        <w:t>——仪器某测量组分满量程值，</w:t>
      </w:r>
      <w:r>
        <w:rPr>
          <w:rFonts w:ascii="Times New Roman" w:hAnsi="Times New Roman"/>
          <w:kern w:val="0"/>
        </w:rPr>
        <w:t>单位为微摩尔每摩尔或毫克每立方米或百分含量</w:t>
      </w:r>
      <w:r>
        <w:rPr>
          <w:rFonts w:ascii="Times New Roman" w:hAnsi="Times New Roman"/>
        </w:rPr>
        <w:t>（μmol/mol、mg/m</w:t>
      </w:r>
      <w:r>
        <w:rPr>
          <w:rFonts w:ascii="Times New Roman" w:hAnsi="Times New Roman"/>
          <w:vertAlign w:val="superscript"/>
        </w:rPr>
        <w:t>3</w:t>
      </w:r>
      <w:r>
        <w:rPr>
          <w:rFonts w:ascii="Times New Roman" w:hAnsi="Times New Roman"/>
        </w:rPr>
        <w:t>或%）。</w:t>
      </w:r>
    </w:p>
    <w:p w14:paraId="05F72CC9">
      <w:pPr>
        <w:pStyle w:val="234"/>
        <w:spacing w:line="312" w:lineRule="auto"/>
        <w:rPr>
          <w:rFonts w:ascii="Times New Roman"/>
        </w:rPr>
      </w:pPr>
      <w:r>
        <w:rPr>
          <w:rFonts w:ascii="Times New Roman"/>
          <w:i/>
          <w:iCs/>
        </w:rPr>
        <w:t>j</w:t>
      </w:r>
      <w:r>
        <w:rPr>
          <w:rFonts w:ascii="Times New Roman"/>
        </w:rPr>
        <w:t>——某测量组分测试干扰气体的序号（</w:t>
      </w:r>
      <w:r>
        <w:rPr>
          <w:rFonts w:ascii="Times New Roman"/>
          <w:i/>
          <w:iCs/>
        </w:rPr>
        <w:t>j</w:t>
      </w:r>
      <w:r>
        <w:rPr>
          <w:rFonts w:ascii="Times New Roman"/>
        </w:rPr>
        <w:t>=1~5）。</w:t>
      </w:r>
      <w:bookmarkEnd w:id="54"/>
    </w:p>
    <w:p w14:paraId="767DDADB">
      <w:pPr>
        <w:pStyle w:val="109"/>
        <w:ind w:firstLine="0" w:firstLineChars="0"/>
        <w:rPr>
          <w:rFonts w:ascii="Times New Roman" w:hAnsi="Times New Roman"/>
        </w:rPr>
      </w:pPr>
      <w:r>
        <w:rPr>
          <w:rFonts w:ascii="Times New Roman" w:hAnsi="Times New Roman"/>
        </w:rPr>
        <w:t>5.7环境适应性</w:t>
      </w:r>
    </w:p>
    <w:p w14:paraId="5541FA78">
      <w:pPr>
        <w:pStyle w:val="234"/>
        <w:spacing w:line="312" w:lineRule="auto"/>
        <w:rPr>
          <w:rFonts w:ascii="Times New Roman"/>
        </w:rPr>
      </w:pPr>
      <w:bookmarkStart w:id="55" w:name="_Hlk168408059"/>
      <w:r>
        <w:rPr>
          <w:rFonts w:ascii="Times New Roman"/>
        </w:rPr>
        <w:t>仪器在恒温环境中运行后，设置温度为（23±2）℃，稳定至少30 min，记录标准温度值</w:t>
      </w:r>
      <w:r>
        <w:rPr>
          <w:rFonts w:ascii="Times New Roman"/>
          <w:i/>
        </w:rPr>
        <w:t>t</w:t>
      </w:r>
      <w:r>
        <w:rPr>
          <w:rFonts w:ascii="Times New Roman"/>
          <w:i/>
          <w:vertAlign w:val="subscript"/>
        </w:rPr>
        <w:t>0</w:t>
      </w:r>
      <w:r>
        <w:rPr>
          <w:rFonts w:ascii="Times New Roman"/>
        </w:rPr>
        <w:t>通入零点气体，记录仪器读数</w:t>
      </w:r>
      <w:r>
        <w:rPr>
          <w:rFonts w:ascii="Times New Roman"/>
          <w:i/>
        </w:rPr>
        <w:t>Z</w:t>
      </w:r>
      <w:r>
        <w:rPr>
          <w:rFonts w:ascii="Times New Roman"/>
          <w:i/>
          <w:vertAlign w:val="subscript"/>
        </w:rPr>
        <w:t>0</w:t>
      </w:r>
      <w:r>
        <w:rPr>
          <w:rFonts w:ascii="Times New Roman"/>
        </w:rPr>
        <w:t>；通入80%满量程的标准气体，记录仪器读数</w:t>
      </w:r>
      <w:r>
        <w:rPr>
          <w:rFonts w:ascii="Times New Roman"/>
          <w:i/>
        </w:rPr>
        <w:t>M</w:t>
      </w:r>
      <w:r>
        <w:rPr>
          <w:rFonts w:ascii="Times New Roman"/>
          <w:i/>
          <w:vertAlign w:val="subscript"/>
        </w:rPr>
        <w:t>0</w:t>
      </w:r>
      <w:r>
        <w:rPr>
          <w:rFonts w:ascii="Times New Roman"/>
        </w:rPr>
        <w:t>；</w:t>
      </w:r>
    </w:p>
    <w:p w14:paraId="5F32B19F">
      <w:pPr>
        <w:pStyle w:val="234"/>
        <w:spacing w:line="312" w:lineRule="auto"/>
        <w:rPr>
          <w:rFonts w:ascii="Times New Roman"/>
        </w:rPr>
      </w:pPr>
      <w:r>
        <w:rPr>
          <w:rFonts w:ascii="Times New Roman"/>
        </w:rPr>
        <w:t>缓慢调节（升温速率或降温速率≤1℃/min，以下相同）恒温环境温度为（40±2）℃，稳定至少30 min，记录标准温度值</w:t>
      </w:r>
      <w:r>
        <w:rPr>
          <w:rFonts w:ascii="Times New Roman"/>
          <w:i/>
        </w:rPr>
        <w:t>t</w:t>
      </w:r>
      <w:r>
        <w:rPr>
          <w:rFonts w:ascii="Times New Roman"/>
          <w:i/>
          <w:vertAlign w:val="subscript"/>
        </w:rPr>
        <w:t>1</w:t>
      </w:r>
      <w:r>
        <w:rPr>
          <w:rFonts w:ascii="Times New Roman"/>
        </w:rPr>
        <w:t>，分别通入同一浓度零点气体和80%满量程的标准气体，记录仪器零点读数</w:t>
      </w:r>
      <w:r>
        <w:rPr>
          <w:rFonts w:ascii="Times New Roman"/>
          <w:i/>
        </w:rPr>
        <w:t>Z</w:t>
      </w:r>
      <w:r>
        <w:rPr>
          <w:rFonts w:ascii="Times New Roman"/>
          <w:i/>
          <w:vertAlign w:val="subscript"/>
        </w:rPr>
        <w:t>1</w:t>
      </w:r>
      <w:r>
        <w:rPr>
          <w:rFonts w:ascii="Times New Roman"/>
        </w:rPr>
        <w:t>和量程读数</w:t>
      </w:r>
      <w:r>
        <w:rPr>
          <w:rFonts w:ascii="Times New Roman"/>
          <w:i/>
        </w:rPr>
        <w:t>M</w:t>
      </w:r>
      <w:r>
        <w:rPr>
          <w:rFonts w:ascii="Times New Roman"/>
          <w:i/>
          <w:vertAlign w:val="subscript"/>
        </w:rPr>
        <w:t>1</w:t>
      </w:r>
      <w:r>
        <w:rPr>
          <w:rFonts w:ascii="Times New Roman"/>
        </w:rPr>
        <w:t>；</w:t>
      </w:r>
    </w:p>
    <w:p w14:paraId="36D50D69">
      <w:pPr>
        <w:pStyle w:val="234"/>
        <w:spacing w:line="312" w:lineRule="auto"/>
        <w:rPr>
          <w:rFonts w:ascii="Times New Roman"/>
        </w:rPr>
      </w:pPr>
      <w:r>
        <w:rPr>
          <w:rFonts w:ascii="Times New Roman"/>
        </w:rPr>
        <w:t>缓慢调节恒温环境温度为（23±2）℃，稳定至少30min，记录标准温度值</w:t>
      </w:r>
      <w:r>
        <w:rPr>
          <w:rFonts w:ascii="Times New Roman"/>
          <w:i/>
        </w:rPr>
        <w:t>t</w:t>
      </w:r>
      <w:r>
        <w:rPr>
          <w:rFonts w:ascii="Times New Roman"/>
          <w:i/>
          <w:vertAlign w:val="subscript"/>
        </w:rPr>
        <w:t>2</w:t>
      </w:r>
      <w:r>
        <w:rPr>
          <w:rFonts w:ascii="Times New Roman"/>
        </w:rPr>
        <w:t>，分别通入同一浓度零点气体和80%满量程的标准气体，记录仪器零点读数</w:t>
      </w:r>
      <w:r>
        <w:rPr>
          <w:rFonts w:ascii="Times New Roman"/>
          <w:i/>
        </w:rPr>
        <w:t>Z</w:t>
      </w:r>
      <w:r>
        <w:rPr>
          <w:rFonts w:ascii="Times New Roman"/>
          <w:i/>
          <w:vertAlign w:val="subscript"/>
        </w:rPr>
        <w:t>2</w:t>
      </w:r>
      <w:r>
        <w:rPr>
          <w:rFonts w:ascii="Times New Roman"/>
        </w:rPr>
        <w:t>和量程读数</w:t>
      </w:r>
      <w:r>
        <w:rPr>
          <w:rFonts w:ascii="Times New Roman"/>
          <w:i/>
        </w:rPr>
        <w:t>M</w:t>
      </w:r>
      <w:r>
        <w:rPr>
          <w:rFonts w:ascii="Times New Roman"/>
          <w:i/>
          <w:vertAlign w:val="subscript"/>
        </w:rPr>
        <w:t>2</w:t>
      </w:r>
      <w:r>
        <w:rPr>
          <w:rFonts w:ascii="Times New Roman"/>
        </w:rPr>
        <w:t>；</w:t>
      </w:r>
    </w:p>
    <w:p w14:paraId="26703729">
      <w:pPr>
        <w:pStyle w:val="234"/>
        <w:spacing w:line="312" w:lineRule="auto"/>
        <w:rPr>
          <w:rFonts w:ascii="Times New Roman"/>
        </w:rPr>
      </w:pPr>
      <w:r>
        <w:rPr>
          <w:rFonts w:ascii="Times New Roman"/>
        </w:rPr>
        <w:t>缓慢调节恒温环境温度为（5±2）℃，稳定至少30 min，记录标准温度值</w:t>
      </w:r>
      <w:r>
        <w:rPr>
          <w:rFonts w:ascii="Times New Roman"/>
          <w:i/>
        </w:rPr>
        <w:t>t</w:t>
      </w:r>
      <w:r>
        <w:rPr>
          <w:rFonts w:ascii="Times New Roman"/>
          <w:i/>
          <w:vertAlign w:val="subscript"/>
        </w:rPr>
        <w:t>3</w:t>
      </w:r>
      <w:r>
        <w:rPr>
          <w:rFonts w:ascii="Times New Roman"/>
        </w:rPr>
        <w:t>，分别通入同一浓度零点气体和80%满量程的标准气体，记录仪器零点读数</w:t>
      </w:r>
      <w:r>
        <w:rPr>
          <w:rFonts w:ascii="Times New Roman"/>
          <w:i/>
        </w:rPr>
        <w:t>Z</w:t>
      </w:r>
      <w:r>
        <w:rPr>
          <w:rFonts w:ascii="Times New Roman"/>
          <w:i/>
          <w:vertAlign w:val="subscript"/>
        </w:rPr>
        <w:t>3</w:t>
      </w:r>
      <w:r>
        <w:rPr>
          <w:rFonts w:ascii="Times New Roman"/>
        </w:rPr>
        <w:t>和量程读数</w:t>
      </w:r>
      <w:r>
        <w:rPr>
          <w:rFonts w:ascii="Times New Roman"/>
          <w:i/>
        </w:rPr>
        <w:t>M</w:t>
      </w:r>
      <w:r>
        <w:rPr>
          <w:rFonts w:ascii="Times New Roman"/>
          <w:i/>
          <w:vertAlign w:val="subscript"/>
        </w:rPr>
        <w:t>3</w:t>
      </w:r>
      <w:r>
        <w:rPr>
          <w:rFonts w:ascii="Times New Roman"/>
        </w:rPr>
        <w:t>；</w:t>
      </w:r>
    </w:p>
    <w:p w14:paraId="3A00D458">
      <w:pPr>
        <w:pStyle w:val="234"/>
        <w:spacing w:line="312" w:lineRule="auto"/>
        <w:rPr>
          <w:rFonts w:ascii="Times New Roman"/>
        </w:rPr>
      </w:pPr>
      <w:r>
        <w:rPr>
          <w:rFonts w:ascii="Times New Roman"/>
        </w:rPr>
        <w:t>缓慢调节恒温环境温度为（23±2）℃，稳定至少30min，记录标准温度值</w:t>
      </w:r>
      <w:r>
        <w:rPr>
          <w:rFonts w:ascii="Times New Roman"/>
          <w:i/>
        </w:rPr>
        <w:t>t</w:t>
      </w:r>
      <w:r>
        <w:rPr>
          <w:rFonts w:ascii="Times New Roman"/>
          <w:i/>
          <w:vertAlign w:val="subscript"/>
        </w:rPr>
        <w:t>4</w:t>
      </w:r>
      <w:r>
        <w:rPr>
          <w:rFonts w:ascii="Times New Roman"/>
        </w:rPr>
        <w:t>，分别通入同一浓度零点气体和80%满量程的标准气体，记录仪器零点读数</w:t>
      </w:r>
      <w:r>
        <w:rPr>
          <w:rFonts w:ascii="Times New Roman"/>
          <w:i/>
        </w:rPr>
        <w:t>Z</w:t>
      </w:r>
      <w:r>
        <w:rPr>
          <w:rFonts w:ascii="Times New Roman"/>
          <w:i/>
          <w:vertAlign w:val="subscript"/>
        </w:rPr>
        <w:t>4</w:t>
      </w:r>
      <w:r>
        <w:rPr>
          <w:rFonts w:ascii="Times New Roman"/>
        </w:rPr>
        <w:t>和量程读数</w:t>
      </w:r>
      <w:r>
        <w:rPr>
          <w:rFonts w:ascii="Times New Roman"/>
          <w:i/>
        </w:rPr>
        <w:t>M</w:t>
      </w:r>
      <w:r>
        <w:rPr>
          <w:rFonts w:ascii="Times New Roman"/>
          <w:i/>
          <w:vertAlign w:val="subscript"/>
        </w:rPr>
        <w:t>4</w:t>
      </w:r>
      <w:r>
        <w:rPr>
          <w:rFonts w:ascii="Times New Roman"/>
        </w:rPr>
        <w:t>；</w:t>
      </w:r>
    </w:p>
    <w:p w14:paraId="4CDF1380">
      <w:pPr>
        <w:pStyle w:val="234"/>
        <w:spacing w:line="312" w:lineRule="auto"/>
        <w:rPr>
          <w:rFonts w:ascii="Times New Roman"/>
        </w:rPr>
      </w:pPr>
      <w:r>
        <w:rPr>
          <w:rFonts w:ascii="Times New Roman"/>
        </w:rPr>
        <w:t>按公式（10）计算仪器环境温度变化低温的影响</w:t>
      </w:r>
      <w:r>
        <w:rPr>
          <w:rFonts w:ascii="Times New Roman"/>
          <w:i/>
        </w:rPr>
        <w:t>b</w:t>
      </w:r>
      <w:r>
        <w:rPr>
          <w:rFonts w:ascii="Times New Roman"/>
          <w:i/>
          <w:vertAlign w:val="subscript"/>
        </w:rPr>
        <w:t>l</w:t>
      </w:r>
      <w:r>
        <w:rPr>
          <w:rFonts w:ascii="Times New Roman"/>
        </w:rPr>
        <w:t>和环境温度变化高温的影响</w:t>
      </w:r>
      <w:r>
        <w:rPr>
          <w:rFonts w:ascii="Times New Roman"/>
          <w:i/>
        </w:rPr>
        <w:t>b</w:t>
      </w:r>
      <w:r>
        <w:rPr>
          <w:rFonts w:ascii="Times New Roman"/>
          <w:i/>
          <w:vertAlign w:val="subscript"/>
        </w:rPr>
        <w:t>h</w:t>
      </w:r>
      <w:r>
        <w:rPr>
          <w:rFonts w:ascii="Times New Roman"/>
        </w:rPr>
        <w:t>。</w:t>
      </w:r>
    </w:p>
    <w:p w14:paraId="24FC060B">
      <w:pPr>
        <w:pStyle w:val="234"/>
        <w:spacing w:line="312" w:lineRule="auto"/>
        <w:rPr>
          <w:rFonts w:ascii="Times New Roman"/>
          <w:szCs w:val="21"/>
        </w:rPr>
      </w:pPr>
      <w:r>
        <w:rPr>
          <w:rFonts w:ascii="Times New Roman"/>
          <w:position w:val="-30"/>
        </w:rPr>
        <w:object>
          <v:shape id="_x0000_i1044" o:spt="75" type="#_x0000_t75" style="height:48pt;width:269.4pt;" o:ole="t" filled="f" o:preferrelative="t" stroked="f" coordsize="21600,21600">
            <v:path/>
            <v:fill on="f" focussize="0,0"/>
            <v:stroke on="f" joinstyle="miter"/>
            <v:imagedata r:id="rId57" o:title=""/>
            <o:lock v:ext="edit" aspectratio="t"/>
            <w10:wrap type="none"/>
            <w10:anchorlock/>
          </v:shape>
          <o:OLEObject Type="Embed" ProgID="Equation.3" ShapeID="_x0000_i1044" DrawAspect="Content" ObjectID="_1468075744" r:id="rId56">
            <o:LockedField>false</o:LockedField>
          </o:OLEObject>
        </w:object>
      </w:r>
    </w:p>
    <w:p w14:paraId="7380A717">
      <w:pPr>
        <w:pStyle w:val="234"/>
        <w:spacing w:line="312" w:lineRule="auto"/>
        <w:rPr>
          <w:rFonts w:ascii="Times New Roman"/>
        </w:rPr>
      </w:pPr>
      <w:r>
        <w:rPr>
          <w:rFonts w:ascii="Times New Roman"/>
          <w:position w:val="-30"/>
        </w:rPr>
        <w:object>
          <v:shape id="_x0000_i1045" o:spt="75" type="#_x0000_t75" style="height:48pt;width:269.4pt;" o:ole="t" filled="f" o:preferrelative="t" stroked="f" coordsize="21600,21600">
            <v:path/>
            <v:fill on="f" focussize="0,0"/>
            <v:stroke on="f" joinstyle="miter"/>
            <v:imagedata r:id="rId59" o:title=""/>
            <o:lock v:ext="edit" aspectratio="t"/>
            <w10:wrap type="none"/>
            <w10:anchorlock/>
          </v:shape>
          <o:OLEObject Type="Embed" ProgID="Equation.3" ShapeID="_x0000_i1045" DrawAspect="Content" ObjectID="_1468075745" r:id="rId58">
            <o:LockedField>false</o:LockedField>
          </o:OLEObject>
        </w:object>
      </w:r>
      <w:r>
        <w:rPr>
          <w:rFonts w:ascii="Times New Roman"/>
        </w:rPr>
        <w:t>…………………………………… （</w:t>
      </w:r>
      <w:r>
        <w:rPr>
          <w:rFonts w:hint="eastAsia" w:ascii="Times New Roman"/>
        </w:rPr>
        <w:t>10</w:t>
      </w:r>
      <w:r>
        <w:rPr>
          <w:rFonts w:ascii="Times New Roman"/>
        </w:rPr>
        <w:t>）</w:t>
      </w:r>
    </w:p>
    <w:p w14:paraId="2997080E">
      <w:pPr>
        <w:autoSpaceDE w:val="0"/>
        <w:autoSpaceDN w:val="0"/>
        <w:spacing w:line="312" w:lineRule="auto"/>
        <w:ind w:firstLine="420" w:firstLineChars="200"/>
        <w:jc w:val="left"/>
        <w:rPr>
          <w:rFonts w:ascii="Times New Roman" w:hAnsi="Times New Roman"/>
        </w:rPr>
      </w:pPr>
      <w:r>
        <w:rPr>
          <w:rFonts w:ascii="Times New Roman" w:hAnsi="Times New Roman"/>
        </w:rPr>
        <w:t>式中：</w:t>
      </w:r>
    </w:p>
    <w:p w14:paraId="221CCDBD">
      <w:pPr>
        <w:autoSpaceDE w:val="0"/>
        <w:autoSpaceDN w:val="0"/>
        <w:spacing w:line="312" w:lineRule="auto"/>
        <w:ind w:firstLine="630" w:firstLineChars="300"/>
        <w:jc w:val="left"/>
        <w:rPr>
          <w:rFonts w:ascii="Times New Roman" w:hAnsi="Times New Roman"/>
        </w:rPr>
      </w:pPr>
      <w:r>
        <w:rPr>
          <w:rFonts w:ascii="Times New Roman" w:hAnsi="Times New Roman"/>
          <w:i/>
        </w:rPr>
        <w:t>b</w:t>
      </w:r>
      <w:r>
        <w:rPr>
          <w:rFonts w:hint="eastAsia" w:ascii="Times New Roman" w:hAnsi="Times New Roman"/>
          <w:iCs/>
          <w:vertAlign w:val="subscript"/>
        </w:rPr>
        <w:t>lm</w:t>
      </w:r>
      <w:r>
        <w:rPr>
          <w:rFonts w:ascii="Times New Roman" w:hAnsi="Times New Roman"/>
        </w:rPr>
        <w:t>--------仪器某测量组分环境温度变化低温的影响，</w:t>
      </w:r>
      <w:r>
        <w:rPr>
          <w:rFonts w:ascii="Times New Roman" w:hAnsi="Times New Roman"/>
          <w:kern w:val="0"/>
        </w:rPr>
        <w:t>用满量程的百分比表示</w:t>
      </w:r>
      <w:r>
        <w:rPr>
          <w:rFonts w:ascii="Times New Roman" w:hAnsi="Times New Roman"/>
        </w:rPr>
        <w:t>；</w:t>
      </w:r>
    </w:p>
    <w:p w14:paraId="460D9E88">
      <w:pPr>
        <w:autoSpaceDE w:val="0"/>
        <w:autoSpaceDN w:val="0"/>
        <w:spacing w:line="312" w:lineRule="auto"/>
        <w:ind w:firstLine="630" w:firstLineChars="300"/>
        <w:jc w:val="left"/>
        <w:rPr>
          <w:rFonts w:ascii="Times New Roman" w:hAnsi="Times New Roman"/>
        </w:rPr>
      </w:pPr>
      <w:r>
        <w:rPr>
          <w:rFonts w:hint="eastAsia" w:ascii="Times New Roman" w:hAnsi="Times New Roman"/>
          <w:i/>
        </w:rPr>
        <w:t>b</w:t>
      </w:r>
      <w:r>
        <w:rPr>
          <w:rFonts w:hint="eastAsia" w:ascii="Times New Roman" w:hAnsi="Times New Roman"/>
          <w:iCs/>
          <w:vertAlign w:val="subscript"/>
        </w:rPr>
        <w:t>hm</w:t>
      </w:r>
      <w:r>
        <w:rPr>
          <w:rFonts w:ascii="Times New Roman" w:hAnsi="Times New Roman"/>
        </w:rPr>
        <w:t>--------仪器某测量组分环境温度变化</w:t>
      </w:r>
      <w:r>
        <w:rPr>
          <w:rFonts w:hint="eastAsia" w:ascii="Times New Roman" w:hAnsi="Times New Roman"/>
        </w:rPr>
        <w:t>高</w:t>
      </w:r>
      <w:r>
        <w:rPr>
          <w:rFonts w:ascii="Times New Roman" w:hAnsi="Times New Roman"/>
        </w:rPr>
        <w:t>温的影响，</w:t>
      </w:r>
      <w:r>
        <w:rPr>
          <w:rFonts w:ascii="Times New Roman" w:hAnsi="Times New Roman"/>
          <w:kern w:val="0"/>
        </w:rPr>
        <w:t>用满量程的百分比表示</w:t>
      </w:r>
      <w:r>
        <w:rPr>
          <w:rFonts w:ascii="Times New Roman" w:hAnsi="Times New Roman"/>
        </w:rPr>
        <w:t>；</w:t>
      </w:r>
    </w:p>
    <w:p w14:paraId="13879D34">
      <w:pPr>
        <w:autoSpaceDE w:val="0"/>
        <w:autoSpaceDN w:val="0"/>
        <w:spacing w:line="312" w:lineRule="auto"/>
        <w:ind w:firstLine="630" w:firstLineChars="300"/>
        <w:rPr>
          <w:rFonts w:ascii="Times New Roman" w:hAnsi="Times New Roman"/>
        </w:rPr>
      </w:pPr>
      <w:r>
        <w:rPr>
          <w:rFonts w:ascii="Times New Roman" w:hAnsi="Times New Roman"/>
          <w:i/>
        </w:rPr>
        <w:t>M</w:t>
      </w:r>
      <w:r>
        <w:rPr>
          <w:rFonts w:ascii="Times New Roman" w:hAnsi="Times New Roman"/>
          <w:i/>
          <w:vertAlign w:val="subscript"/>
        </w:rPr>
        <w:t>0</w:t>
      </w:r>
      <w:r>
        <w:rPr>
          <w:rFonts w:hint="eastAsia" w:ascii="Times New Roman" w:hAnsi="Times New Roman"/>
          <w:i/>
          <w:vertAlign w:val="subscript"/>
        </w:rPr>
        <w:t>m</w:t>
      </w:r>
      <w:r>
        <w:rPr>
          <w:rFonts w:ascii="Times New Roman" w:hAnsi="Times New Roman"/>
        </w:rPr>
        <w:t>--------环境温度</w:t>
      </w:r>
      <w:r>
        <w:rPr>
          <w:rFonts w:ascii="Times New Roman" w:hAnsi="Times New Roman"/>
          <w:i/>
        </w:rPr>
        <w:t>t</w:t>
      </w:r>
      <w:r>
        <w:rPr>
          <w:rFonts w:ascii="Times New Roman" w:hAnsi="Times New Roman"/>
          <w:i/>
          <w:vertAlign w:val="subscript"/>
        </w:rPr>
        <w:t>0</w:t>
      </w:r>
      <w:r>
        <w:rPr>
          <w:rFonts w:ascii="Times New Roman" w:hAnsi="Times New Roman"/>
        </w:rPr>
        <w:t>，仪器80%满量程的标准气体测量值，</w:t>
      </w:r>
      <w:r>
        <w:rPr>
          <w:rFonts w:ascii="Times New Roman" w:hAnsi="Times New Roman"/>
          <w:kern w:val="0"/>
        </w:rPr>
        <w:t>单位为微摩尔每摩尔或毫克每立方米或百分含量</w:t>
      </w:r>
      <w:r>
        <w:rPr>
          <w:rFonts w:ascii="Times New Roman" w:hAnsi="Times New Roman"/>
        </w:rPr>
        <w:t>（μmol/mol、mg/m</w:t>
      </w:r>
      <w:r>
        <w:rPr>
          <w:rFonts w:ascii="Times New Roman" w:hAnsi="Times New Roman"/>
          <w:vertAlign w:val="superscript"/>
        </w:rPr>
        <w:t>3</w:t>
      </w:r>
      <w:r>
        <w:rPr>
          <w:rFonts w:ascii="Times New Roman" w:hAnsi="Times New Roman"/>
        </w:rPr>
        <w:t>或%）；</w:t>
      </w:r>
    </w:p>
    <w:p w14:paraId="54A6868B">
      <w:pPr>
        <w:autoSpaceDE w:val="0"/>
        <w:autoSpaceDN w:val="0"/>
        <w:spacing w:line="312" w:lineRule="auto"/>
        <w:ind w:firstLine="630" w:firstLineChars="300"/>
        <w:rPr>
          <w:rFonts w:ascii="Times New Roman" w:hAnsi="Times New Roman"/>
        </w:rPr>
      </w:pPr>
      <w:r>
        <w:rPr>
          <w:rFonts w:ascii="Times New Roman" w:hAnsi="Times New Roman"/>
          <w:i/>
        </w:rPr>
        <w:t>M</w:t>
      </w:r>
      <w:r>
        <w:rPr>
          <w:rFonts w:ascii="Times New Roman" w:hAnsi="Times New Roman"/>
          <w:i/>
          <w:vertAlign w:val="subscript"/>
        </w:rPr>
        <w:t>1</w:t>
      </w:r>
      <w:r>
        <w:rPr>
          <w:rFonts w:hint="eastAsia" w:ascii="Times New Roman" w:hAnsi="Times New Roman"/>
          <w:i/>
          <w:vertAlign w:val="subscript"/>
        </w:rPr>
        <w:t>m</w:t>
      </w:r>
      <w:r>
        <w:rPr>
          <w:rFonts w:ascii="Times New Roman" w:hAnsi="Times New Roman"/>
        </w:rPr>
        <w:t>--------环境温度</w:t>
      </w:r>
      <w:r>
        <w:rPr>
          <w:rFonts w:ascii="Times New Roman" w:hAnsi="Times New Roman"/>
          <w:i/>
        </w:rPr>
        <w:t>t</w:t>
      </w:r>
      <w:r>
        <w:rPr>
          <w:rFonts w:ascii="Times New Roman" w:hAnsi="Times New Roman"/>
          <w:i/>
          <w:vertAlign w:val="subscript"/>
        </w:rPr>
        <w:t>1</w:t>
      </w:r>
      <w:r>
        <w:rPr>
          <w:rFonts w:ascii="Times New Roman" w:hAnsi="Times New Roman"/>
        </w:rPr>
        <w:t>，仪器某测量组分80%满量程的标准气体测量值，</w:t>
      </w:r>
      <w:r>
        <w:rPr>
          <w:rFonts w:ascii="Times New Roman" w:hAnsi="Times New Roman"/>
          <w:kern w:val="0"/>
        </w:rPr>
        <w:t>单位为微摩尔每摩尔或毫克每立方米或百分含量</w:t>
      </w:r>
      <w:r>
        <w:rPr>
          <w:rFonts w:ascii="Times New Roman" w:hAnsi="Times New Roman"/>
        </w:rPr>
        <w:t>（μmol/mol、mg/m</w:t>
      </w:r>
      <w:r>
        <w:rPr>
          <w:rFonts w:ascii="Times New Roman" w:hAnsi="Times New Roman"/>
          <w:vertAlign w:val="superscript"/>
        </w:rPr>
        <w:t>3</w:t>
      </w:r>
      <w:r>
        <w:rPr>
          <w:rFonts w:ascii="Times New Roman" w:hAnsi="Times New Roman"/>
        </w:rPr>
        <w:t>或%）；</w:t>
      </w:r>
    </w:p>
    <w:p w14:paraId="1384543F">
      <w:pPr>
        <w:autoSpaceDE w:val="0"/>
        <w:autoSpaceDN w:val="0"/>
        <w:spacing w:line="312" w:lineRule="auto"/>
        <w:ind w:firstLine="630" w:firstLineChars="300"/>
        <w:rPr>
          <w:rFonts w:ascii="Times New Roman" w:hAnsi="Times New Roman"/>
        </w:rPr>
      </w:pPr>
      <w:r>
        <w:rPr>
          <w:rFonts w:ascii="Times New Roman" w:hAnsi="Times New Roman"/>
          <w:i/>
        </w:rPr>
        <w:t>M</w:t>
      </w:r>
      <w:r>
        <w:rPr>
          <w:rFonts w:ascii="Times New Roman" w:hAnsi="Times New Roman"/>
          <w:i/>
          <w:vertAlign w:val="subscript"/>
        </w:rPr>
        <w:t>2</w:t>
      </w:r>
      <w:r>
        <w:rPr>
          <w:rFonts w:hint="eastAsia" w:ascii="Times New Roman" w:hAnsi="Times New Roman"/>
          <w:i/>
          <w:vertAlign w:val="subscript"/>
        </w:rPr>
        <w:t>m</w:t>
      </w:r>
      <w:r>
        <w:rPr>
          <w:rFonts w:ascii="Times New Roman" w:hAnsi="Times New Roman"/>
        </w:rPr>
        <w:t>--------环境温度</w:t>
      </w:r>
      <w:r>
        <w:rPr>
          <w:rFonts w:ascii="Times New Roman" w:hAnsi="Times New Roman"/>
          <w:i/>
        </w:rPr>
        <w:t>t</w:t>
      </w:r>
      <w:r>
        <w:rPr>
          <w:rFonts w:ascii="Times New Roman" w:hAnsi="Times New Roman"/>
          <w:i/>
          <w:vertAlign w:val="subscript"/>
        </w:rPr>
        <w:t>2</w:t>
      </w:r>
      <w:r>
        <w:rPr>
          <w:rFonts w:ascii="Times New Roman" w:hAnsi="Times New Roman"/>
        </w:rPr>
        <w:t>，仪器某测量组分80%满量程的标准气体测量值，</w:t>
      </w:r>
      <w:r>
        <w:rPr>
          <w:rFonts w:ascii="Times New Roman" w:hAnsi="Times New Roman"/>
          <w:kern w:val="0"/>
        </w:rPr>
        <w:t>单位为微摩尔每摩尔或毫克每立方米或百分含量</w:t>
      </w:r>
      <w:r>
        <w:rPr>
          <w:rFonts w:ascii="Times New Roman" w:hAnsi="Times New Roman"/>
        </w:rPr>
        <w:t>（μmol/mol、mg/m</w:t>
      </w:r>
      <w:r>
        <w:rPr>
          <w:rFonts w:ascii="Times New Roman" w:hAnsi="Times New Roman"/>
          <w:vertAlign w:val="superscript"/>
        </w:rPr>
        <w:t>3</w:t>
      </w:r>
      <w:r>
        <w:rPr>
          <w:rFonts w:ascii="Times New Roman" w:hAnsi="Times New Roman"/>
        </w:rPr>
        <w:t>或%）；</w:t>
      </w:r>
    </w:p>
    <w:p w14:paraId="56A0AEE1">
      <w:pPr>
        <w:autoSpaceDE w:val="0"/>
        <w:autoSpaceDN w:val="0"/>
        <w:spacing w:line="312" w:lineRule="auto"/>
        <w:ind w:firstLine="630" w:firstLineChars="300"/>
        <w:rPr>
          <w:rFonts w:ascii="Times New Roman" w:hAnsi="Times New Roman"/>
        </w:rPr>
      </w:pPr>
      <w:r>
        <w:rPr>
          <w:rFonts w:ascii="Times New Roman" w:hAnsi="Times New Roman"/>
          <w:i/>
        </w:rPr>
        <w:t>M</w:t>
      </w:r>
      <w:r>
        <w:rPr>
          <w:rFonts w:ascii="Times New Roman" w:hAnsi="Times New Roman"/>
          <w:i/>
          <w:vertAlign w:val="subscript"/>
        </w:rPr>
        <w:t>3</w:t>
      </w:r>
      <w:r>
        <w:rPr>
          <w:rFonts w:hint="eastAsia" w:ascii="Times New Roman" w:hAnsi="Times New Roman"/>
          <w:i/>
          <w:vertAlign w:val="subscript"/>
        </w:rPr>
        <w:t>m</w:t>
      </w:r>
      <w:r>
        <w:rPr>
          <w:rFonts w:ascii="Times New Roman" w:hAnsi="Times New Roman"/>
        </w:rPr>
        <w:t>--------环境温度</w:t>
      </w:r>
      <w:r>
        <w:rPr>
          <w:rFonts w:ascii="Times New Roman" w:hAnsi="Times New Roman"/>
          <w:i/>
          <w:vertAlign w:val="subscript"/>
        </w:rPr>
        <w:t>t3</w:t>
      </w:r>
      <w:r>
        <w:rPr>
          <w:rFonts w:ascii="Times New Roman" w:hAnsi="Times New Roman"/>
        </w:rPr>
        <w:t>，仪器某测量组分80%满量程的标准气体测量值，</w:t>
      </w:r>
      <w:r>
        <w:rPr>
          <w:rFonts w:ascii="Times New Roman" w:hAnsi="Times New Roman"/>
          <w:kern w:val="0"/>
        </w:rPr>
        <w:t>单位为微摩尔每摩尔或毫克每立方米或百分含量</w:t>
      </w:r>
      <w:r>
        <w:rPr>
          <w:rFonts w:ascii="Times New Roman" w:hAnsi="Times New Roman"/>
        </w:rPr>
        <w:t>（μmol/mol、mg/m</w:t>
      </w:r>
      <w:r>
        <w:rPr>
          <w:rFonts w:ascii="Times New Roman" w:hAnsi="Times New Roman"/>
          <w:vertAlign w:val="superscript"/>
        </w:rPr>
        <w:t>3</w:t>
      </w:r>
      <w:r>
        <w:rPr>
          <w:rFonts w:ascii="Times New Roman" w:hAnsi="Times New Roman"/>
        </w:rPr>
        <w:t>或%）；</w:t>
      </w:r>
    </w:p>
    <w:p w14:paraId="6D61DE34">
      <w:pPr>
        <w:autoSpaceDE w:val="0"/>
        <w:autoSpaceDN w:val="0"/>
        <w:spacing w:line="312" w:lineRule="auto"/>
        <w:ind w:firstLine="630" w:firstLineChars="300"/>
        <w:rPr>
          <w:rFonts w:ascii="Times New Roman" w:hAnsi="Times New Roman"/>
        </w:rPr>
      </w:pPr>
      <w:r>
        <w:rPr>
          <w:rFonts w:ascii="Times New Roman" w:hAnsi="Times New Roman"/>
          <w:i/>
        </w:rPr>
        <w:t>M</w:t>
      </w:r>
      <w:r>
        <w:rPr>
          <w:rFonts w:ascii="Times New Roman" w:hAnsi="Times New Roman"/>
          <w:i/>
          <w:vertAlign w:val="subscript"/>
        </w:rPr>
        <w:t>4</w:t>
      </w:r>
      <w:r>
        <w:rPr>
          <w:rFonts w:hint="eastAsia" w:ascii="Times New Roman" w:hAnsi="Times New Roman"/>
          <w:i/>
          <w:vertAlign w:val="subscript"/>
        </w:rPr>
        <w:t>m</w:t>
      </w:r>
      <w:r>
        <w:rPr>
          <w:rFonts w:ascii="Times New Roman" w:hAnsi="Times New Roman"/>
        </w:rPr>
        <w:t>--------环境温度</w:t>
      </w:r>
      <w:r>
        <w:rPr>
          <w:rFonts w:ascii="Times New Roman" w:hAnsi="Times New Roman"/>
          <w:i/>
        </w:rPr>
        <w:t>t</w:t>
      </w:r>
      <w:r>
        <w:rPr>
          <w:rFonts w:ascii="Times New Roman" w:hAnsi="Times New Roman"/>
          <w:i/>
          <w:vertAlign w:val="subscript"/>
        </w:rPr>
        <w:t>4</w:t>
      </w:r>
      <w:r>
        <w:rPr>
          <w:rFonts w:ascii="Times New Roman" w:hAnsi="Times New Roman"/>
        </w:rPr>
        <w:t>，仪器某测量组分80%满量程的标准气体测量值，</w:t>
      </w:r>
      <w:r>
        <w:rPr>
          <w:rFonts w:ascii="Times New Roman" w:hAnsi="Times New Roman"/>
          <w:kern w:val="0"/>
        </w:rPr>
        <w:t>单位为微摩尔每摩尔或毫克每立方米或百分含量</w:t>
      </w:r>
      <w:r>
        <w:rPr>
          <w:rFonts w:ascii="Times New Roman" w:hAnsi="Times New Roman"/>
        </w:rPr>
        <w:t>（μmol/mol、mg/m</w:t>
      </w:r>
      <w:r>
        <w:rPr>
          <w:rFonts w:ascii="Times New Roman" w:hAnsi="Times New Roman"/>
          <w:vertAlign w:val="superscript"/>
        </w:rPr>
        <w:t>3</w:t>
      </w:r>
      <w:r>
        <w:rPr>
          <w:rFonts w:ascii="Times New Roman" w:hAnsi="Times New Roman"/>
        </w:rPr>
        <w:t>或%）；</w:t>
      </w:r>
    </w:p>
    <w:p w14:paraId="5E966361">
      <w:pPr>
        <w:autoSpaceDE w:val="0"/>
        <w:autoSpaceDN w:val="0"/>
        <w:spacing w:line="312" w:lineRule="auto"/>
        <w:ind w:firstLine="630" w:firstLineChars="300"/>
        <w:rPr>
          <w:rFonts w:ascii="Times New Roman" w:hAnsi="Times New Roman"/>
        </w:rPr>
      </w:pPr>
      <w:r>
        <w:rPr>
          <w:rFonts w:ascii="Times New Roman" w:hAnsi="Times New Roman"/>
          <w:i/>
        </w:rPr>
        <w:t>Z</w:t>
      </w:r>
      <w:r>
        <w:rPr>
          <w:rFonts w:ascii="Times New Roman" w:hAnsi="Times New Roman"/>
          <w:i/>
          <w:vertAlign w:val="subscript"/>
        </w:rPr>
        <w:t>0</w:t>
      </w:r>
      <w:r>
        <w:rPr>
          <w:rFonts w:hint="eastAsia" w:ascii="Times New Roman" w:hAnsi="Times New Roman"/>
          <w:i/>
          <w:vertAlign w:val="subscript"/>
        </w:rPr>
        <w:t>m</w:t>
      </w:r>
      <w:r>
        <w:rPr>
          <w:rFonts w:ascii="Times New Roman" w:hAnsi="Times New Roman"/>
        </w:rPr>
        <w:t>--------环境温度</w:t>
      </w:r>
      <w:r>
        <w:rPr>
          <w:rFonts w:ascii="Times New Roman" w:hAnsi="Times New Roman"/>
          <w:i/>
        </w:rPr>
        <w:t>t</w:t>
      </w:r>
      <w:r>
        <w:rPr>
          <w:rFonts w:ascii="Times New Roman" w:hAnsi="Times New Roman"/>
          <w:i/>
          <w:vertAlign w:val="subscript"/>
        </w:rPr>
        <w:t>0</w:t>
      </w:r>
      <w:r>
        <w:rPr>
          <w:rFonts w:ascii="Times New Roman" w:hAnsi="Times New Roman"/>
        </w:rPr>
        <w:t>，仪器某测量组分零点气体测量值，</w:t>
      </w:r>
      <w:r>
        <w:rPr>
          <w:rFonts w:ascii="Times New Roman" w:hAnsi="Times New Roman"/>
          <w:kern w:val="0"/>
        </w:rPr>
        <w:t>单位为微摩尔每摩尔或毫克每立方米或百分含量</w:t>
      </w:r>
      <w:r>
        <w:rPr>
          <w:rFonts w:ascii="Times New Roman" w:hAnsi="Times New Roman"/>
        </w:rPr>
        <w:t>（μmol/mol、mg/m</w:t>
      </w:r>
      <w:r>
        <w:rPr>
          <w:rFonts w:ascii="Times New Roman" w:hAnsi="Times New Roman"/>
          <w:vertAlign w:val="superscript"/>
        </w:rPr>
        <w:t>3</w:t>
      </w:r>
      <w:r>
        <w:rPr>
          <w:rFonts w:ascii="Times New Roman" w:hAnsi="Times New Roman"/>
        </w:rPr>
        <w:t>或%）；</w:t>
      </w:r>
    </w:p>
    <w:p w14:paraId="4A6F6F0F">
      <w:pPr>
        <w:autoSpaceDE w:val="0"/>
        <w:autoSpaceDN w:val="0"/>
        <w:spacing w:line="312" w:lineRule="auto"/>
        <w:ind w:firstLine="630" w:firstLineChars="300"/>
        <w:rPr>
          <w:rFonts w:ascii="Times New Roman" w:hAnsi="Times New Roman"/>
        </w:rPr>
      </w:pPr>
      <w:r>
        <w:rPr>
          <w:rFonts w:ascii="Times New Roman" w:hAnsi="Times New Roman"/>
          <w:i/>
        </w:rPr>
        <w:t>Z</w:t>
      </w:r>
      <w:r>
        <w:rPr>
          <w:rFonts w:ascii="Times New Roman" w:hAnsi="Times New Roman"/>
          <w:i/>
          <w:vertAlign w:val="subscript"/>
        </w:rPr>
        <w:t>1</w:t>
      </w:r>
      <w:r>
        <w:rPr>
          <w:rFonts w:hint="eastAsia" w:ascii="Times New Roman" w:hAnsi="Times New Roman"/>
          <w:i/>
          <w:vertAlign w:val="subscript"/>
        </w:rPr>
        <w:t>m</w:t>
      </w:r>
      <w:r>
        <w:rPr>
          <w:rFonts w:ascii="Times New Roman" w:hAnsi="Times New Roman"/>
        </w:rPr>
        <w:t>--------环境温度</w:t>
      </w:r>
      <w:r>
        <w:rPr>
          <w:rFonts w:ascii="Times New Roman" w:hAnsi="Times New Roman"/>
          <w:i/>
        </w:rPr>
        <w:t>t</w:t>
      </w:r>
      <w:r>
        <w:rPr>
          <w:rFonts w:ascii="Times New Roman" w:hAnsi="Times New Roman"/>
          <w:i/>
          <w:vertAlign w:val="subscript"/>
        </w:rPr>
        <w:t>1</w:t>
      </w:r>
      <w:r>
        <w:rPr>
          <w:rFonts w:ascii="Times New Roman" w:hAnsi="Times New Roman"/>
        </w:rPr>
        <w:t>，仪器某测量组分零点气体测量值，</w:t>
      </w:r>
      <w:r>
        <w:rPr>
          <w:rFonts w:ascii="Times New Roman" w:hAnsi="Times New Roman"/>
          <w:kern w:val="0"/>
        </w:rPr>
        <w:t>单位为微摩尔每摩尔或毫克每立方米或百分含量</w:t>
      </w:r>
      <w:r>
        <w:rPr>
          <w:rFonts w:ascii="Times New Roman" w:hAnsi="Times New Roman"/>
        </w:rPr>
        <w:t>（μmol/mol、mg/m</w:t>
      </w:r>
      <w:r>
        <w:rPr>
          <w:rFonts w:ascii="Times New Roman" w:hAnsi="Times New Roman"/>
          <w:vertAlign w:val="superscript"/>
        </w:rPr>
        <w:t>3</w:t>
      </w:r>
      <w:r>
        <w:rPr>
          <w:rFonts w:ascii="Times New Roman" w:hAnsi="Times New Roman"/>
        </w:rPr>
        <w:t>或%）；</w:t>
      </w:r>
    </w:p>
    <w:p w14:paraId="30045EBA">
      <w:pPr>
        <w:pStyle w:val="232"/>
        <w:spacing w:line="312" w:lineRule="auto"/>
        <w:ind w:firstLine="630" w:firstLineChars="300"/>
        <w:jc w:val="both"/>
        <w:rPr>
          <w:rFonts w:ascii="Times New Roman" w:hAnsi="Times New Roman" w:cs="Times New Roman"/>
          <w:color w:val="auto"/>
          <w:sz w:val="21"/>
          <w:szCs w:val="21"/>
        </w:rPr>
      </w:pPr>
      <w:r>
        <w:rPr>
          <w:rFonts w:ascii="Times New Roman" w:hAnsi="Times New Roman" w:cs="Times New Roman"/>
          <w:i/>
          <w:iCs/>
          <w:color w:val="auto"/>
          <w:sz w:val="21"/>
          <w:szCs w:val="21"/>
        </w:rPr>
        <w:t>Z</w:t>
      </w:r>
      <w:r>
        <w:rPr>
          <w:rFonts w:ascii="Times New Roman" w:hAnsi="Times New Roman" w:cs="Times New Roman"/>
          <w:i/>
          <w:iCs/>
          <w:color w:val="auto"/>
          <w:sz w:val="21"/>
          <w:szCs w:val="21"/>
          <w:vertAlign w:val="subscript"/>
        </w:rPr>
        <w:t>2</w:t>
      </w:r>
      <w:r>
        <w:rPr>
          <w:rFonts w:hint="eastAsia" w:ascii="Times New Roman" w:hAnsi="Times New Roman" w:cs="Times New Roman"/>
          <w:i/>
          <w:iCs/>
          <w:color w:val="auto"/>
          <w:sz w:val="21"/>
          <w:szCs w:val="21"/>
          <w:vertAlign w:val="subscript"/>
        </w:rPr>
        <w:t>m</w:t>
      </w:r>
      <w:r>
        <w:rPr>
          <w:rFonts w:ascii="Times New Roman" w:hAnsi="Times New Roman" w:cs="Times New Roman"/>
          <w:color w:val="auto"/>
          <w:sz w:val="21"/>
          <w:szCs w:val="21"/>
        </w:rPr>
        <w:t>--------环境温度</w:t>
      </w:r>
      <w:r>
        <w:rPr>
          <w:rFonts w:ascii="Times New Roman" w:hAnsi="Times New Roman" w:cs="Times New Roman"/>
          <w:i/>
          <w:iCs/>
          <w:color w:val="auto"/>
          <w:sz w:val="21"/>
          <w:szCs w:val="21"/>
        </w:rPr>
        <w:t>t</w:t>
      </w:r>
      <w:r>
        <w:rPr>
          <w:rFonts w:ascii="Times New Roman" w:hAnsi="Times New Roman" w:cs="Times New Roman"/>
          <w:i/>
          <w:iCs/>
          <w:color w:val="auto"/>
          <w:sz w:val="21"/>
          <w:szCs w:val="21"/>
          <w:vertAlign w:val="subscript"/>
        </w:rPr>
        <w:t>2</w:t>
      </w:r>
      <w:r>
        <w:rPr>
          <w:rFonts w:ascii="Times New Roman" w:hAnsi="Times New Roman" w:cs="Times New Roman"/>
          <w:color w:val="auto"/>
          <w:sz w:val="21"/>
          <w:szCs w:val="21"/>
        </w:rPr>
        <w:t>，仪器某测量组分零点气体测量值，单位为微摩尔每摩尔或毫克每立方米或百分含量（</w:t>
      </w:r>
      <w:r>
        <w:rPr>
          <w:rFonts w:ascii="Times New Roman" w:hAnsi="Times New Roman" w:cs="Times New Roman"/>
          <w:color w:val="auto"/>
        </w:rPr>
        <w:t>μmol/mol、mg/m</w:t>
      </w:r>
      <w:r>
        <w:rPr>
          <w:rFonts w:ascii="Times New Roman" w:hAnsi="Times New Roman" w:cs="Times New Roman"/>
          <w:color w:val="auto"/>
          <w:vertAlign w:val="superscript"/>
        </w:rPr>
        <w:t>3</w:t>
      </w:r>
      <w:r>
        <w:rPr>
          <w:rFonts w:ascii="Times New Roman" w:hAnsi="Times New Roman" w:cs="Times New Roman"/>
          <w:color w:val="auto"/>
        </w:rPr>
        <w:t>或%）；</w:t>
      </w:r>
    </w:p>
    <w:p w14:paraId="32B2DBF7">
      <w:pPr>
        <w:pStyle w:val="232"/>
        <w:spacing w:line="312" w:lineRule="auto"/>
        <w:ind w:firstLine="630" w:firstLineChars="300"/>
        <w:jc w:val="both"/>
        <w:rPr>
          <w:rFonts w:ascii="Times New Roman" w:hAnsi="Times New Roman" w:cs="Times New Roman"/>
          <w:color w:val="auto"/>
          <w:sz w:val="21"/>
          <w:szCs w:val="21"/>
        </w:rPr>
      </w:pPr>
      <w:r>
        <w:rPr>
          <w:rFonts w:ascii="Times New Roman" w:hAnsi="Times New Roman" w:cs="Times New Roman"/>
          <w:i/>
          <w:iCs/>
          <w:color w:val="auto"/>
          <w:sz w:val="21"/>
          <w:szCs w:val="21"/>
        </w:rPr>
        <w:t>Z</w:t>
      </w:r>
      <w:r>
        <w:rPr>
          <w:rFonts w:ascii="Times New Roman" w:hAnsi="Times New Roman" w:cs="Times New Roman"/>
          <w:i/>
          <w:iCs/>
          <w:color w:val="auto"/>
          <w:sz w:val="21"/>
          <w:szCs w:val="21"/>
          <w:vertAlign w:val="subscript"/>
        </w:rPr>
        <w:t>3</w:t>
      </w:r>
      <w:r>
        <w:rPr>
          <w:rFonts w:hint="eastAsia" w:ascii="Times New Roman" w:hAnsi="Times New Roman" w:cs="Times New Roman"/>
          <w:i/>
          <w:iCs/>
          <w:color w:val="auto"/>
          <w:sz w:val="21"/>
          <w:szCs w:val="21"/>
          <w:vertAlign w:val="subscript"/>
        </w:rPr>
        <w:t>m</w:t>
      </w:r>
      <w:r>
        <w:rPr>
          <w:rFonts w:ascii="Times New Roman" w:hAnsi="Times New Roman" w:cs="Times New Roman"/>
          <w:color w:val="auto"/>
          <w:sz w:val="21"/>
          <w:szCs w:val="21"/>
        </w:rPr>
        <w:t>--------环境温度</w:t>
      </w:r>
      <w:r>
        <w:rPr>
          <w:rFonts w:ascii="Times New Roman" w:hAnsi="Times New Roman" w:cs="Times New Roman"/>
          <w:i/>
          <w:iCs/>
          <w:color w:val="auto"/>
          <w:sz w:val="21"/>
          <w:szCs w:val="21"/>
        </w:rPr>
        <w:t>t</w:t>
      </w:r>
      <w:r>
        <w:rPr>
          <w:rFonts w:ascii="Times New Roman" w:hAnsi="Times New Roman" w:cs="Times New Roman"/>
          <w:i/>
          <w:iCs/>
          <w:color w:val="auto"/>
          <w:sz w:val="21"/>
          <w:szCs w:val="21"/>
          <w:vertAlign w:val="subscript"/>
        </w:rPr>
        <w:t>3</w:t>
      </w:r>
      <w:r>
        <w:rPr>
          <w:rFonts w:ascii="Times New Roman" w:hAnsi="Times New Roman" w:cs="Times New Roman"/>
          <w:color w:val="auto"/>
          <w:sz w:val="21"/>
          <w:szCs w:val="21"/>
        </w:rPr>
        <w:t>，仪器某测量组分零点气体测量值，单位为微摩尔每摩尔或毫克每立方米或百分含量（</w:t>
      </w:r>
      <w:r>
        <w:rPr>
          <w:rFonts w:ascii="Times New Roman" w:hAnsi="Times New Roman" w:cs="Times New Roman"/>
          <w:color w:val="auto"/>
        </w:rPr>
        <w:t>μmol/mol、mg/m</w:t>
      </w:r>
      <w:r>
        <w:rPr>
          <w:rFonts w:ascii="Times New Roman" w:hAnsi="Times New Roman" w:cs="Times New Roman"/>
          <w:color w:val="auto"/>
          <w:vertAlign w:val="superscript"/>
        </w:rPr>
        <w:t>3</w:t>
      </w:r>
      <w:r>
        <w:rPr>
          <w:rFonts w:ascii="Times New Roman" w:hAnsi="Times New Roman" w:cs="Times New Roman"/>
          <w:color w:val="auto"/>
        </w:rPr>
        <w:t>或%）；</w:t>
      </w:r>
    </w:p>
    <w:p w14:paraId="12AD56C5">
      <w:pPr>
        <w:pStyle w:val="232"/>
        <w:spacing w:line="312" w:lineRule="auto"/>
        <w:ind w:firstLine="630" w:firstLineChars="300"/>
        <w:jc w:val="both"/>
        <w:rPr>
          <w:rFonts w:ascii="Times New Roman" w:hAnsi="Times New Roman" w:cs="Times New Roman"/>
          <w:color w:val="auto"/>
          <w:sz w:val="21"/>
          <w:szCs w:val="21"/>
        </w:rPr>
      </w:pPr>
      <w:r>
        <w:rPr>
          <w:rFonts w:ascii="Times New Roman" w:hAnsi="Times New Roman" w:cs="Times New Roman"/>
          <w:i/>
          <w:iCs/>
          <w:color w:val="auto"/>
          <w:sz w:val="21"/>
          <w:szCs w:val="21"/>
        </w:rPr>
        <w:t>Z</w:t>
      </w:r>
      <w:r>
        <w:rPr>
          <w:rFonts w:ascii="Times New Roman" w:hAnsi="Times New Roman" w:cs="Times New Roman"/>
          <w:i/>
          <w:iCs/>
          <w:color w:val="auto"/>
          <w:sz w:val="21"/>
          <w:szCs w:val="21"/>
          <w:vertAlign w:val="subscript"/>
        </w:rPr>
        <w:t>4</w:t>
      </w:r>
      <w:r>
        <w:rPr>
          <w:rFonts w:hint="eastAsia" w:ascii="Times New Roman" w:hAnsi="Times New Roman" w:cs="Times New Roman"/>
          <w:i/>
          <w:iCs/>
          <w:color w:val="auto"/>
          <w:sz w:val="21"/>
          <w:szCs w:val="21"/>
          <w:vertAlign w:val="subscript"/>
        </w:rPr>
        <w:t>m</w:t>
      </w:r>
      <w:r>
        <w:rPr>
          <w:rFonts w:ascii="Times New Roman" w:hAnsi="Times New Roman" w:cs="Times New Roman"/>
          <w:color w:val="auto"/>
          <w:sz w:val="21"/>
          <w:szCs w:val="21"/>
        </w:rPr>
        <w:t>--------环境温度</w:t>
      </w:r>
      <w:r>
        <w:rPr>
          <w:rFonts w:ascii="Times New Roman" w:hAnsi="Times New Roman" w:cs="Times New Roman"/>
          <w:i/>
          <w:iCs/>
          <w:color w:val="auto"/>
          <w:sz w:val="21"/>
          <w:szCs w:val="21"/>
        </w:rPr>
        <w:t>t</w:t>
      </w:r>
      <w:r>
        <w:rPr>
          <w:rFonts w:ascii="Times New Roman" w:hAnsi="Times New Roman" w:cs="Times New Roman"/>
          <w:i/>
          <w:iCs/>
          <w:color w:val="auto"/>
          <w:sz w:val="21"/>
          <w:szCs w:val="21"/>
          <w:vertAlign w:val="subscript"/>
        </w:rPr>
        <w:t>4</w:t>
      </w:r>
      <w:r>
        <w:rPr>
          <w:rFonts w:ascii="Times New Roman" w:hAnsi="Times New Roman" w:cs="Times New Roman"/>
          <w:color w:val="auto"/>
          <w:sz w:val="21"/>
          <w:szCs w:val="21"/>
        </w:rPr>
        <w:t>，仪器某测量组分零点气体测量值，单位为微摩尔每摩尔或毫克每立方米或百分含量（</w:t>
      </w:r>
      <w:r>
        <w:rPr>
          <w:rFonts w:ascii="Times New Roman" w:hAnsi="Times New Roman" w:cs="Times New Roman"/>
          <w:color w:val="auto"/>
        </w:rPr>
        <w:t>μmol/mol、mg/m</w:t>
      </w:r>
      <w:r>
        <w:rPr>
          <w:rFonts w:ascii="Times New Roman" w:hAnsi="Times New Roman" w:cs="Times New Roman"/>
          <w:color w:val="auto"/>
          <w:vertAlign w:val="superscript"/>
        </w:rPr>
        <w:t>3</w:t>
      </w:r>
      <w:r>
        <w:rPr>
          <w:rFonts w:ascii="Times New Roman" w:hAnsi="Times New Roman" w:cs="Times New Roman"/>
          <w:color w:val="auto"/>
        </w:rPr>
        <w:t>或%）；</w:t>
      </w:r>
    </w:p>
    <w:bookmarkEnd w:id="55"/>
    <w:p w14:paraId="1EE67459">
      <w:pPr>
        <w:spacing w:line="312" w:lineRule="auto"/>
        <w:ind w:firstLine="420" w:firstLineChars="200"/>
        <w:rPr>
          <w:rFonts w:ascii="Times New Roman" w:hAnsi="Times New Roman"/>
          <w:kern w:val="0"/>
        </w:rPr>
      </w:pPr>
      <w:r>
        <w:rPr>
          <w:rFonts w:ascii="Times New Roman" w:hAnsi="Times New Roman"/>
          <w:i/>
        </w:rPr>
        <w:t>R</w:t>
      </w:r>
      <w:r>
        <w:rPr>
          <w:rFonts w:ascii="Times New Roman" w:hAnsi="Times New Roman"/>
          <w:iCs/>
          <w:vertAlign w:val="subscript"/>
        </w:rPr>
        <w:t>m</w:t>
      </w:r>
      <w:r>
        <w:rPr>
          <w:rFonts w:ascii="Times New Roman" w:hAnsi="Times New Roman"/>
        </w:rPr>
        <w:t>——仪器某测量组分满量程值，</w:t>
      </w:r>
      <w:r>
        <w:rPr>
          <w:rFonts w:ascii="Times New Roman" w:hAnsi="Times New Roman"/>
          <w:kern w:val="0"/>
        </w:rPr>
        <w:t>单位为微摩尔每摩尔或毫克每立方米或百分含量</w:t>
      </w:r>
      <w:r>
        <w:rPr>
          <w:rFonts w:ascii="Times New Roman" w:hAnsi="Times New Roman"/>
        </w:rPr>
        <w:t>（μmol/mol、mg/m</w:t>
      </w:r>
      <w:r>
        <w:rPr>
          <w:rFonts w:ascii="Times New Roman" w:hAnsi="Times New Roman"/>
          <w:vertAlign w:val="superscript"/>
        </w:rPr>
        <w:t>3</w:t>
      </w:r>
      <w:r>
        <w:rPr>
          <w:rFonts w:ascii="Times New Roman" w:hAnsi="Times New Roman"/>
        </w:rPr>
        <w:t>或%）。</w:t>
      </w:r>
    </w:p>
    <w:p w14:paraId="0A0A3754">
      <w:pPr>
        <w:pStyle w:val="109"/>
        <w:ind w:firstLine="0" w:firstLineChars="0"/>
        <w:rPr>
          <w:rFonts w:hint="eastAsia" w:ascii="黑体" w:hAnsi="黑体" w:eastAsia="黑体" w:cs="黑体"/>
        </w:rPr>
      </w:pPr>
      <w:r>
        <w:rPr>
          <w:rFonts w:hint="eastAsia" w:ascii="黑体" w:hAnsi="黑体" w:eastAsia="黑体" w:cs="黑体"/>
        </w:rPr>
        <w:t>5.8电磁兼容性</w:t>
      </w:r>
    </w:p>
    <w:p w14:paraId="44F93F72">
      <w:pPr>
        <w:pStyle w:val="234"/>
        <w:spacing w:line="312" w:lineRule="auto"/>
        <w:rPr>
          <w:rFonts w:ascii="Times New Roman"/>
        </w:rPr>
      </w:pPr>
      <w:r>
        <w:rPr>
          <w:rFonts w:ascii="Times New Roman"/>
        </w:rPr>
        <w:t>试验按照GB/T 17626.2-2018、GB/T 17626.4-2018、GB/T 17626.5-20</w:t>
      </w:r>
      <w:r>
        <w:rPr>
          <w:rFonts w:hint="eastAsia" w:ascii="Times New Roman"/>
        </w:rPr>
        <w:t>19</w:t>
      </w:r>
      <w:r>
        <w:rPr>
          <w:rFonts w:ascii="Times New Roman"/>
        </w:rPr>
        <w:t>的方法进行。</w:t>
      </w:r>
    </w:p>
    <w:p w14:paraId="2903DF84">
      <w:pPr>
        <w:pStyle w:val="109"/>
        <w:ind w:firstLine="0" w:firstLineChars="0"/>
        <w:rPr>
          <w:rFonts w:hint="eastAsia" w:ascii="黑体" w:hAnsi="黑体" w:eastAsia="黑体" w:cs="黑体"/>
        </w:rPr>
      </w:pPr>
      <w:r>
        <w:rPr>
          <w:rFonts w:hint="eastAsia" w:ascii="黑体" w:hAnsi="黑体" w:eastAsia="黑体" w:cs="黑体"/>
        </w:rPr>
        <w:t>5.9仪器的运输、贮存</w:t>
      </w:r>
    </w:p>
    <w:p w14:paraId="14A2A266">
      <w:pPr>
        <w:pStyle w:val="234"/>
        <w:spacing w:line="312" w:lineRule="auto"/>
        <w:rPr>
          <w:rFonts w:ascii="Times New Roman"/>
        </w:rPr>
      </w:pPr>
      <w:r>
        <w:rPr>
          <w:rFonts w:ascii="Times New Roman"/>
        </w:rPr>
        <w:t>仪器在运输包装状态下，按GB/T 11606-2007中第8章、第15章、第16章、第17章和第18章的方法进行。</w:t>
      </w:r>
    </w:p>
    <w:p w14:paraId="3E3CD58F">
      <w:pPr>
        <w:pStyle w:val="237"/>
        <w:rPr>
          <w:rFonts w:ascii="Times New Roman" w:hAnsi="Times New Roman"/>
        </w:rPr>
      </w:pPr>
      <w:r>
        <w:rPr>
          <w:rFonts w:ascii="Times New Roman" w:hAnsi="Times New Roman"/>
        </w:rPr>
        <w:t>检验规则</w:t>
      </w:r>
    </w:p>
    <w:p w14:paraId="3ED992C2">
      <w:pPr>
        <w:pStyle w:val="236"/>
        <w:numPr>
          <w:ilvl w:val="0"/>
          <w:numId w:val="0"/>
        </w:numPr>
        <w:ind w:left="360" w:hanging="360"/>
        <w:rPr>
          <w:rFonts w:hint="eastAsia" w:ascii="黑体" w:hAnsi="黑体" w:eastAsia="黑体" w:cs="黑体"/>
        </w:rPr>
      </w:pPr>
      <w:bookmarkStart w:id="56" w:name="_Toc397674300"/>
      <w:bookmarkEnd w:id="56"/>
      <w:bookmarkStart w:id="57" w:name="_Toc397674258"/>
      <w:bookmarkEnd w:id="57"/>
      <w:bookmarkStart w:id="58" w:name="_Toc413338305"/>
      <w:bookmarkEnd w:id="58"/>
      <w:bookmarkStart w:id="59" w:name="_Toc397673570"/>
      <w:bookmarkEnd w:id="59"/>
      <w:bookmarkStart w:id="60" w:name="_Toc413655327"/>
      <w:bookmarkEnd w:id="60"/>
      <w:bookmarkStart w:id="61" w:name="_Toc398365779"/>
      <w:bookmarkEnd w:id="61"/>
      <w:bookmarkStart w:id="62" w:name="_Toc397674043"/>
      <w:bookmarkEnd w:id="62"/>
      <w:bookmarkStart w:id="63" w:name="_Toc380483388"/>
      <w:bookmarkEnd w:id="63"/>
      <w:bookmarkStart w:id="64" w:name="_Toc397673632"/>
      <w:bookmarkEnd w:id="64"/>
      <w:bookmarkStart w:id="65" w:name="_Toc413492262"/>
      <w:bookmarkEnd w:id="65"/>
      <w:bookmarkStart w:id="66" w:name="_Toc398550418"/>
      <w:bookmarkEnd w:id="66"/>
      <w:bookmarkStart w:id="67" w:name="_Toc413338216"/>
      <w:bookmarkEnd w:id="67"/>
      <w:bookmarkStart w:id="68" w:name="_Toc397674192"/>
      <w:bookmarkEnd w:id="68"/>
      <w:bookmarkStart w:id="69" w:name="_Toc397673990"/>
      <w:bookmarkEnd w:id="69"/>
      <w:bookmarkStart w:id="70" w:name="_Toc413655709"/>
      <w:r>
        <w:rPr>
          <w:rFonts w:hint="eastAsia" w:ascii="黑体" w:hAnsi="黑体" w:eastAsia="黑体" w:cs="黑体"/>
        </w:rPr>
        <w:t>6.1检验分类</w:t>
      </w:r>
      <w:bookmarkEnd w:id="70"/>
    </w:p>
    <w:p w14:paraId="3BE00514">
      <w:pPr>
        <w:pStyle w:val="234"/>
        <w:spacing w:line="312" w:lineRule="auto"/>
        <w:rPr>
          <w:rFonts w:ascii="Times New Roman"/>
        </w:rPr>
      </w:pPr>
      <w:r>
        <w:rPr>
          <w:rFonts w:ascii="Times New Roman"/>
        </w:rPr>
        <w:t>检验分为出厂检验和型式检验。</w:t>
      </w:r>
    </w:p>
    <w:p w14:paraId="69253BEE">
      <w:pPr>
        <w:pStyle w:val="236"/>
        <w:numPr>
          <w:ilvl w:val="0"/>
          <w:numId w:val="0"/>
        </w:numPr>
        <w:ind w:left="360" w:hanging="360"/>
        <w:rPr>
          <w:rFonts w:hint="eastAsia" w:ascii="黑体" w:hAnsi="黑体" w:eastAsia="黑体" w:cs="黑体"/>
        </w:rPr>
      </w:pPr>
      <w:bookmarkStart w:id="71" w:name="_Toc398550419"/>
      <w:bookmarkEnd w:id="71"/>
      <w:bookmarkStart w:id="72" w:name="_Toc397673633"/>
      <w:bookmarkEnd w:id="72"/>
      <w:bookmarkStart w:id="73" w:name="_Toc397674044"/>
      <w:bookmarkEnd w:id="73"/>
      <w:bookmarkStart w:id="74" w:name="_Toc398365780"/>
      <w:bookmarkEnd w:id="74"/>
      <w:bookmarkStart w:id="75" w:name="_Toc397673991"/>
      <w:bookmarkEnd w:id="75"/>
      <w:bookmarkStart w:id="76" w:name="_Toc182817147"/>
      <w:bookmarkEnd w:id="76"/>
      <w:bookmarkStart w:id="77" w:name="_Toc380483389"/>
      <w:bookmarkEnd w:id="77"/>
      <w:bookmarkStart w:id="78" w:name="_Toc397673571"/>
      <w:bookmarkEnd w:id="78"/>
      <w:bookmarkStart w:id="79" w:name="_Toc397674301"/>
      <w:bookmarkEnd w:id="79"/>
      <w:bookmarkStart w:id="80" w:name="_Toc397674259"/>
      <w:bookmarkEnd w:id="80"/>
      <w:bookmarkStart w:id="81" w:name="_Toc397674193"/>
      <w:bookmarkEnd w:id="81"/>
      <w:bookmarkStart w:id="82" w:name="_Toc413338306"/>
      <w:r>
        <w:rPr>
          <w:rFonts w:hint="eastAsia" w:ascii="黑体" w:hAnsi="黑体" w:eastAsia="黑体" w:cs="黑体"/>
        </w:rPr>
        <w:t>6.2出厂检验</w:t>
      </w:r>
      <w:bookmarkEnd w:id="82"/>
    </w:p>
    <w:p w14:paraId="54790B20">
      <w:pPr>
        <w:pStyle w:val="234"/>
        <w:spacing w:line="312" w:lineRule="auto"/>
        <w:rPr>
          <w:rFonts w:ascii="Times New Roman"/>
        </w:rPr>
      </w:pPr>
      <w:bookmarkStart w:id="83" w:name="_Toc413338307"/>
      <w:bookmarkEnd w:id="83"/>
      <w:r>
        <w:rPr>
          <w:rFonts w:ascii="Times New Roman"/>
        </w:rPr>
        <w:t>仪器在出厂前应按表2 试验项目进行检验，每台仪器须经质量检验部门检验合格，并附有产品合格证书后方能出厂。</w:t>
      </w:r>
    </w:p>
    <w:p w14:paraId="42ACB985">
      <w:pPr>
        <w:widowControl/>
        <w:numPr>
          <w:ilvl w:val="0"/>
          <w:numId w:val="38"/>
        </w:numPr>
        <w:adjustRightInd/>
        <w:spacing w:before="120" w:beforeLines="50" w:after="120" w:afterLines="50" w:line="312" w:lineRule="auto"/>
        <w:ind w:firstLine="420"/>
        <w:jc w:val="center"/>
        <w:rPr>
          <w:rFonts w:hint="eastAsia" w:ascii="黑体" w:hAnsi="黑体" w:eastAsia="黑体" w:cs="黑体"/>
          <w:kern w:val="0"/>
        </w:rPr>
      </w:pPr>
      <w:r>
        <w:rPr>
          <w:rFonts w:hint="eastAsia" w:ascii="黑体" w:hAnsi="黑体" w:eastAsia="黑体" w:cs="黑体"/>
          <w:kern w:val="0"/>
        </w:rPr>
        <w:t>出厂检验项目</w:t>
      </w:r>
    </w:p>
    <w:tbl>
      <w:tblPr>
        <w:tblStyle w:val="29"/>
        <w:tblW w:w="0" w:type="auto"/>
        <w:jc w:val="center"/>
        <w:tblLayout w:type="fixed"/>
        <w:tblCellMar>
          <w:top w:w="0" w:type="dxa"/>
          <w:left w:w="108" w:type="dxa"/>
          <w:bottom w:w="0" w:type="dxa"/>
          <w:right w:w="108" w:type="dxa"/>
        </w:tblCellMar>
      </w:tblPr>
      <w:tblGrid>
        <w:gridCol w:w="830"/>
        <w:gridCol w:w="3764"/>
        <w:gridCol w:w="1989"/>
        <w:gridCol w:w="1878"/>
      </w:tblGrid>
      <w:tr w14:paraId="34A5DFAA">
        <w:tblPrEx>
          <w:tblCellMar>
            <w:top w:w="0" w:type="dxa"/>
            <w:left w:w="108" w:type="dxa"/>
            <w:bottom w:w="0" w:type="dxa"/>
            <w:right w:w="108" w:type="dxa"/>
          </w:tblCellMar>
        </w:tblPrEx>
        <w:trPr>
          <w:trHeight w:val="320" w:hRule="atLeast"/>
          <w:jc w:val="center"/>
        </w:trPr>
        <w:tc>
          <w:tcPr>
            <w:tcW w:w="830" w:type="dxa"/>
            <w:tcBorders>
              <w:top w:val="single" w:color="000000" w:sz="8" w:space="0"/>
              <w:left w:val="single" w:color="000000" w:sz="8" w:space="0"/>
              <w:bottom w:val="single" w:color="000000" w:sz="8" w:space="0"/>
              <w:right w:val="single" w:color="000000" w:sz="4" w:space="0"/>
            </w:tcBorders>
            <w:vAlign w:val="center"/>
          </w:tcPr>
          <w:p w14:paraId="7755F68F">
            <w:pPr>
              <w:widowControl/>
              <w:spacing w:line="312" w:lineRule="auto"/>
              <w:jc w:val="center"/>
              <w:rPr>
                <w:rFonts w:hint="eastAsia" w:ascii="黑体" w:hAnsi="黑体" w:eastAsia="黑体" w:cs="黑体"/>
                <w:kern w:val="0"/>
                <w:sz w:val="18"/>
                <w:szCs w:val="18"/>
              </w:rPr>
            </w:pPr>
            <w:r>
              <w:rPr>
                <w:rFonts w:hint="eastAsia" w:ascii="黑体" w:hAnsi="黑体" w:eastAsia="黑体" w:cs="黑体"/>
                <w:kern w:val="0"/>
                <w:sz w:val="18"/>
                <w:szCs w:val="18"/>
              </w:rPr>
              <w:t>序号</w:t>
            </w:r>
          </w:p>
        </w:tc>
        <w:tc>
          <w:tcPr>
            <w:tcW w:w="3764" w:type="dxa"/>
            <w:tcBorders>
              <w:top w:val="single" w:color="000000" w:sz="8" w:space="0"/>
              <w:left w:val="nil"/>
              <w:bottom w:val="single" w:color="000000" w:sz="8" w:space="0"/>
              <w:right w:val="single" w:color="000000" w:sz="4" w:space="0"/>
            </w:tcBorders>
            <w:vAlign w:val="center"/>
          </w:tcPr>
          <w:p w14:paraId="37E0C496">
            <w:pPr>
              <w:widowControl/>
              <w:spacing w:line="312" w:lineRule="auto"/>
              <w:ind w:firstLine="360"/>
              <w:jc w:val="center"/>
              <w:rPr>
                <w:rFonts w:hint="eastAsia" w:ascii="黑体" w:hAnsi="黑体" w:eastAsia="黑体" w:cs="黑体"/>
                <w:kern w:val="0"/>
                <w:sz w:val="18"/>
                <w:szCs w:val="18"/>
              </w:rPr>
            </w:pPr>
            <w:r>
              <w:rPr>
                <w:rFonts w:hint="eastAsia" w:ascii="黑体" w:hAnsi="黑体" w:eastAsia="黑体" w:cs="黑体"/>
                <w:kern w:val="0"/>
                <w:sz w:val="18"/>
                <w:szCs w:val="18"/>
              </w:rPr>
              <w:t>检验项目</w:t>
            </w:r>
          </w:p>
        </w:tc>
        <w:tc>
          <w:tcPr>
            <w:tcW w:w="1989" w:type="dxa"/>
            <w:tcBorders>
              <w:top w:val="single" w:color="000000" w:sz="8" w:space="0"/>
              <w:left w:val="nil"/>
              <w:bottom w:val="single" w:color="000000" w:sz="8" w:space="0"/>
              <w:right w:val="single" w:color="000000" w:sz="4" w:space="0"/>
            </w:tcBorders>
            <w:vAlign w:val="center"/>
          </w:tcPr>
          <w:p w14:paraId="44E2730D">
            <w:pPr>
              <w:widowControl/>
              <w:spacing w:line="312" w:lineRule="auto"/>
              <w:ind w:firstLine="360"/>
              <w:jc w:val="center"/>
              <w:rPr>
                <w:rFonts w:hint="eastAsia" w:ascii="黑体" w:hAnsi="黑体" w:eastAsia="黑体" w:cs="黑体"/>
                <w:kern w:val="0"/>
                <w:sz w:val="18"/>
                <w:szCs w:val="18"/>
              </w:rPr>
            </w:pPr>
            <w:r>
              <w:rPr>
                <w:rFonts w:hint="eastAsia" w:ascii="黑体" w:hAnsi="黑体" w:eastAsia="黑体" w:cs="黑体"/>
                <w:kern w:val="0"/>
                <w:sz w:val="18"/>
                <w:szCs w:val="18"/>
              </w:rPr>
              <w:t>要求</w:t>
            </w:r>
          </w:p>
        </w:tc>
        <w:tc>
          <w:tcPr>
            <w:tcW w:w="1878" w:type="dxa"/>
            <w:tcBorders>
              <w:top w:val="single" w:color="000000" w:sz="8" w:space="0"/>
              <w:left w:val="nil"/>
              <w:bottom w:val="single" w:color="000000" w:sz="8" w:space="0"/>
              <w:right w:val="single" w:color="000000" w:sz="8" w:space="0"/>
            </w:tcBorders>
            <w:vAlign w:val="center"/>
          </w:tcPr>
          <w:p w14:paraId="3E649B48">
            <w:pPr>
              <w:widowControl/>
              <w:spacing w:line="312" w:lineRule="auto"/>
              <w:ind w:firstLine="360"/>
              <w:jc w:val="center"/>
              <w:rPr>
                <w:rFonts w:hint="eastAsia" w:ascii="黑体" w:hAnsi="黑体" w:eastAsia="黑体" w:cs="黑体"/>
                <w:kern w:val="0"/>
                <w:sz w:val="18"/>
                <w:szCs w:val="18"/>
              </w:rPr>
            </w:pPr>
            <w:r>
              <w:rPr>
                <w:rFonts w:hint="eastAsia" w:ascii="黑体" w:hAnsi="黑体" w:eastAsia="黑体" w:cs="黑体"/>
                <w:kern w:val="0"/>
                <w:sz w:val="18"/>
                <w:szCs w:val="18"/>
              </w:rPr>
              <w:t>试验方法</w:t>
            </w:r>
          </w:p>
        </w:tc>
      </w:tr>
      <w:tr w14:paraId="6AB3C14A">
        <w:tblPrEx>
          <w:tblCellMar>
            <w:top w:w="0" w:type="dxa"/>
            <w:left w:w="108" w:type="dxa"/>
            <w:bottom w:w="0" w:type="dxa"/>
            <w:right w:w="108" w:type="dxa"/>
          </w:tblCellMar>
        </w:tblPrEx>
        <w:trPr>
          <w:trHeight w:val="320" w:hRule="atLeast"/>
          <w:jc w:val="center"/>
        </w:trPr>
        <w:tc>
          <w:tcPr>
            <w:tcW w:w="830" w:type="dxa"/>
            <w:tcBorders>
              <w:top w:val="single" w:color="000000" w:sz="4" w:space="0"/>
              <w:left w:val="single" w:color="000000" w:sz="8" w:space="0"/>
              <w:bottom w:val="single" w:color="000000" w:sz="4" w:space="0"/>
              <w:right w:val="single" w:color="000000" w:sz="4" w:space="0"/>
            </w:tcBorders>
            <w:vAlign w:val="center"/>
          </w:tcPr>
          <w:p w14:paraId="5A8253AC">
            <w:pPr>
              <w:widowControl/>
              <w:spacing w:line="312" w:lineRule="auto"/>
              <w:jc w:val="center"/>
              <w:rPr>
                <w:rFonts w:ascii="Times New Roman" w:hAnsi="Times New Roman"/>
                <w:kern w:val="0"/>
                <w:sz w:val="18"/>
                <w:szCs w:val="18"/>
              </w:rPr>
            </w:pPr>
            <w:r>
              <w:rPr>
                <w:rFonts w:ascii="Times New Roman" w:hAnsi="Times New Roman"/>
                <w:kern w:val="0"/>
                <w:sz w:val="18"/>
                <w:szCs w:val="18"/>
              </w:rPr>
              <w:t>1</w:t>
            </w:r>
          </w:p>
        </w:tc>
        <w:tc>
          <w:tcPr>
            <w:tcW w:w="3764" w:type="dxa"/>
            <w:tcBorders>
              <w:top w:val="single" w:color="000000" w:sz="4" w:space="0"/>
              <w:left w:val="nil"/>
              <w:bottom w:val="single" w:color="000000" w:sz="4" w:space="0"/>
              <w:right w:val="single" w:color="000000" w:sz="4" w:space="0"/>
            </w:tcBorders>
            <w:vAlign w:val="center"/>
          </w:tcPr>
          <w:p w14:paraId="54D0E24C">
            <w:pPr>
              <w:widowControl/>
              <w:spacing w:line="312" w:lineRule="auto"/>
              <w:jc w:val="center"/>
              <w:rPr>
                <w:rFonts w:ascii="Times New Roman" w:hAnsi="Times New Roman"/>
                <w:kern w:val="0"/>
                <w:sz w:val="18"/>
                <w:szCs w:val="18"/>
              </w:rPr>
            </w:pPr>
            <w:r>
              <w:rPr>
                <w:rFonts w:ascii="Times New Roman" w:hAnsi="Times New Roman"/>
                <w:sz w:val="18"/>
                <w:szCs w:val="18"/>
              </w:rPr>
              <w:t>外观要求</w:t>
            </w:r>
          </w:p>
        </w:tc>
        <w:tc>
          <w:tcPr>
            <w:tcW w:w="1989" w:type="dxa"/>
            <w:tcBorders>
              <w:top w:val="single" w:color="000000" w:sz="4" w:space="0"/>
              <w:left w:val="nil"/>
              <w:bottom w:val="single" w:color="000000" w:sz="4" w:space="0"/>
              <w:right w:val="single" w:color="000000" w:sz="4" w:space="0"/>
            </w:tcBorders>
            <w:vAlign w:val="center"/>
          </w:tcPr>
          <w:p w14:paraId="6C865E44">
            <w:pPr>
              <w:widowControl/>
              <w:spacing w:line="312" w:lineRule="auto"/>
              <w:ind w:firstLine="360"/>
              <w:jc w:val="center"/>
              <w:rPr>
                <w:rFonts w:ascii="Times New Roman" w:hAnsi="Times New Roman"/>
                <w:kern w:val="0"/>
                <w:sz w:val="18"/>
                <w:szCs w:val="18"/>
              </w:rPr>
            </w:pPr>
            <w:r>
              <w:rPr>
                <w:rFonts w:ascii="Times New Roman" w:hAnsi="Times New Roman"/>
                <w:kern w:val="0"/>
                <w:sz w:val="18"/>
                <w:szCs w:val="18"/>
              </w:rPr>
              <w:t>4.2</w:t>
            </w:r>
          </w:p>
        </w:tc>
        <w:tc>
          <w:tcPr>
            <w:tcW w:w="1878" w:type="dxa"/>
            <w:tcBorders>
              <w:top w:val="single" w:color="000000" w:sz="8" w:space="0"/>
              <w:left w:val="nil"/>
              <w:bottom w:val="single" w:color="000000" w:sz="4" w:space="0"/>
              <w:right w:val="single" w:color="000000" w:sz="8" w:space="0"/>
            </w:tcBorders>
            <w:vAlign w:val="center"/>
          </w:tcPr>
          <w:p w14:paraId="79DB3CAD">
            <w:pPr>
              <w:widowControl/>
              <w:spacing w:line="312" w:lineRule="auto"/>
              <w:ind w:firstLine="360"/>
              <w:jc w:val="center"/>
              <w:rPr>
                <w:rFonts w:ascii="Times New Roman" w:hAnsi="Times New Roman"/>
                <w:kern w:val="0"/>
                <w:sz w:val="18"/>
                <w:szCs w:val="18"/>
              </w:rPr>
            </w:pPr>
            <w:r>
              <w:rPr>
                <w:rFonts w:ascii="Times New Roman" w:hAnsi="Times New Roman"/>
                <w:kern w:val="0"/>
                <w:sz w:val="18"/>
                <w:szCs w:val="18"/>
              </w:rPr>
              <w:t>5.2</w:t>
            </w:r>
          </w:p>
        </w:tc>
      </w:tr>
      <w:tr w14:paraId="580B7495">
        <w:tblPrEx>
          <w:tblCellMar>
            <w:top w:w="0" w:type="dxa"/>
            <w:left w:w="108" w:type="dxa"/>
            <w:bottom w:w="0" w:type="dxa"/>
            <w:right w:w="108" w:type="dxa"/>
          </w:tblCellMar>
        </w:tblPrEx>
        <w:trPr>
          <w:trHeight w:val="320" w:hRule="atLeast"/>
          <w:jc w:val="center"/>
        </w:trPr>
        <w:tc>
          <w:tcPr>
            <w:tcW w:w="830" w:type="dxa"/>
            <w:tcBorders>
              <w:top w:val="single" w:color="000000" w:sz="4" w:space="0"/>
              <w:left w:val="single" w:color="000000" w:sz="8" w:space="0"/>
              <w:bottom w:val="single" w:color="000000" w:sz="4" w:space="0"/>
              <w:right w:val="single" w:color="000000" w:sz="4" w:space="0"/>
            </w:tcBorders>
            <w:vAlign w:val="center"/>
          </w:tcPr>
          <w:p w14:paraId="0D0B2B3F">
            <w:pPr>
              <w:widowControl/>
              <w:spacing w:line="312" w:lineRule="auto"/>
              <w:jc w:val="center"/>
              <w:rPr>
                <w:rFonts w:ascii="Times New Roman" w:hAnsi="Times New Roman"/>
                <w:kern w:val="0"/>
                <w:sz w:val="18"/>
                <w:szCs w:val="18"/>
              </w:rPr>
            </w:pPr>
            <w:r>
              <w:rPr>
                <w:rFonts w:ascii="Times New Roman" w:hAnsi="Times New Roman"/>
                <w:kern w:val="0"/>
                <w:sz w:val="18"/>
                <w:szCs w:val="18"/>
              </w:rPr>
              <w:t>2</w:t>
            </w:r>
          </w:p>
        </w:tc>
        <w:tc>
          <w:tcPr>
            <w:tcW w:w="3764" w:type="dxa"/>
            <w:tcBorders>
              <w:top w:val="single" w:color="000000" w:sz="4" w:space="0"/>
              <w:left w:val="nil"/>
              <w:bottom w:val="single" w:color="000000" w:sz="4" w:space="0"/>
              <w:right w:val="single" w:color="000000" w:sz="4" w:space="0"/>
            </w:tcBorders>
            <w:vAlign w:val="center"/>
          </w:tcPr>
          <w:p w14:paraId="0086D0EE">
            <w:pPr>
              <w:widowControl/>
              <w:spacing w:line="312" w:lineRule="auto"/>
              <w:jc w:val="center"/>
              <w:rPr>
                <w:rFonts w:ascii="Times New Roman" w:hAnsi="Times New Roman"/>
                <w:kern w:val="0"/>
                <w:sz w:val="18"/>
                <w:szCs w:val="18"/>
              </w:rPr>
            </w:pPr>
            <w:r>
              <w:rPr>
                <w:rFonts w:ascii="Times New Roman" w:hAnsi="Times New Roman"/>
                <w:sz w:val="18"/>
                <w:szCs w:val="18"/>
              </w:rPr>
              <w:t>绝缘电阻</w:t>
            </w:r>
          </w:p>
        </w:tc>
        <w:tc>
          <w:tcPr>
            <w:tcW w:w="1989" w:type="dxa"/>
            <w:tcBorders>
              <w:top w:val="single" w:color="000000" w:sz="4" w:space="0"/>
              <w:left w:val="nil"/>
              <w:bottom w:val="single" w:color="000000" w:sz="4" w:space="0"/>
              <w:right w:val="single" w:color="000000" w:sz="4" w:space="0"/>
            </w:tcBorders>
            <w:vAlign w:val="center"/>
          </w:tcPr>
          <w:p w14:paraId="4F09E10C">
            <w:pPr>
              <w:widowControl/>
              <w:spacing w:line="312" w:lineRule="auto"/>
              <w:ind w:firstLine="360"/>
              <w:jc w:val="center"/>
              <w:rPr>
                <w:rFonts w:ascii="Times New Roman" w:hAnsi="Times New Roman"/>
                <w:kern w:val="0"/>
                <w:sz w:val="18"/>
                <w:szCs w:val="18"/>
              </w:rPr>
            </w:pPr>
            <w:r>
              <w:rPr>
                <w:rFonts w:ascii="Times New Roman" w:hAnsi="Times New Roman"/>
                <w:kern w:val="0"/>
                <w:sz w:val="18"/>
                <w:szCs w:val="18"/>
              </w:rPr>
              <w:t>4.3.1</w:t>
            </w:r>
          </w:p>
        </w:tc>
        <w:tc>
          <w:tcPr>
            <w:tcW w:w="1878" w:type="dxa"/>
            <w:tcBorders>
              <w:top w:val="single" w:color="000000" w:sz="4" w:space="0"/>
              <w:left w:val="nil"/>
              <w:bottom w:val="single" w:color="000000" w:sz="4" w:space="0"/>
              <w:right w:val="single" w:color="000000" w:sz="8" w:space="0"/>
            </w:tcBorders>
            <w:vAlign w:val="center"/>
          </w:tcPr>
          <w:p w14:paraId="490B781B">
            <w:pPr>
              <w:widowControl/>
              <w:spacing w:line="312" w:lineRule="auto"/>
              <w:ind w:firstLine="360"/>
              <w:jc w:val="center"/>
              <w:rPr>
                <w:rFonts w:ascii="Times New Roman" w:hAnsi="Times New Roman"/>
                <w:kern w:val="0"/>
                <w:sz w:val="18"/>
                <w:szCs w:val="18"/>
              </w:rPr>
            </w:pPr>
            <w:r>
              <w:rPr>
                <w:rFonts w:ascii="Times New Roman" w:hAnsi="Times New Roman"/>
                <w:kern w:val="0"/>
                <w:sz w:val="18"/>
                <w:szCs w:val="18"/>
              </w:rPr>
              <w:t>5.3.1</w:t>
            </w:r>
          </w:p>
        </w:tc>
      </w:tr>
      <w:tr w14:paraId="24C39002">
        <w:tblPrEx>
          <w:tblCellMar>
            <w:top w:w="0" w:type="dxa"/>
            <w:left w:w="108" w:type="dxa"/>
            <w:bottom w:w="0" w:type="dxa"/>
            <w:right w:w="108" w:type="dxa"/>
          </w:tblCellMar>
        </w:tblPrEx>
        <w:trPr>
          <w:trHeight w:val="320" w:hRule="atLeast"/>
          <w:jc w:val="center"/>
        </w:trPr>
        <w:tc>
          <w:tcPr>
            <w:tcW w:w="830" w:type="dxa"/>
            <w:tcBorders>
              <w:top w:val="single" w:color="000000" w:sz="4" w:space="0"/>
              <w:left w:val="single" w:color="000000" w:sz="8" w:space="0"/>
              <w:bottom w:val="single" w:color="000000" w:sz="4" w:space="0"/>
              <w:right w:val="single" w:color="000000" w:sz="4" w:space="0"/>
            </w:tcBorders>
            <w:vAlign w:val="center"/>
          </w:tcPr>
          <w:p w14:paraId="4A844AA0">
            <w:pPr>
              <w:widowControl/>
              <w:spacing w:line="312" w:lineRule="auto"/>
              <w:jc w:val="center"/>
              <w:rPr>
                <w:rFonts w:ascii="Times New Roman" w:hAnsi="Times New Roman"/>
                <w:kern w:val="0"/>
                <w:sz w:val="18"/>
                <w:szCs w:val="18"/>
              </w:rPr>
            </w:pPr>
            <w:r>
              <w:rPr>
                <w:rFonts w:ascii="Times New Roman" w:hAnsi="Times New Roman"/>
                <w:kern w:val="0"/>
                <w:sz w:val="18"/>
                <w:szCs w:val="18"/>
              </w:rPr>
              <w:t>3</w:t>
            </w:r>
          </w:p>
        </w:tc>
        <w:tc>
          <w:tcPr>
            <w:tcW w:w="3764" w:type="dxa"/>
            <w:tcBorders>
              <w:top w:val="single" w:color="000000" w:sz="4" w:space="0"/>
              <w:left w:val="nil"/>
              <w:bottom w:val="single" w:color="000000" w:sz="4" w:space="0"/>
              <w:right w:val="single" w:color="000000" w:sz="4" w:space="0"/>
            </w:tcBorders>
            <w:vAlign w:val="center"/>
          </w:tcPr>
          <w:p w14:paraId="502FB570">
            <w:pPr>
              <w:widowControl/>
              <w:spacing w:line="312" w:lineRule="auto"/>
              <w:jc w:val="center"/>
              <w:rPr>
                <w:rFonts w:ascii="Times New Roman" w:hAnsi="Times New Roman"/>
                <w:kern w:val="0"/>
                <w:sz w:val="18"/>
                <w:szCs w:val="18"/>
              </w:rPr>
            </w:pPr>
            <w:r>
              <w:rPr>
                <w:rFonts w:ascii="Times New Roman" w:hAnsi="Times New Roman"/>
                <w:sz w:val="18"/>
                <w:szCs w:val="18"/>
              </w:rPr>
              <w:t>介电强度</w:t>
            </w:r>
          </w:p>
        </w:tc>
        <w:tc>
          <w:tcPr>
            <w:tcW w:w="1989" w:type="dxa"/>
            <w:tcBorders>
              <w:top w:val="single" w:color="000000" w:sz="4" w:space="0"/>
              <w:left w:val="nil"/>
              <w:bottom w:val="single" w:color="000000" w:sz="4" w:space="0"/>
              <w:right w:val="single" w:color="000000" w:sz="4" w:space="0"/>
            </w:tcBorders>
            <w:vAlign w:val="center"/>
          </w:tcPr>
          <w:p w14:paraId="5150774F">
            <w:pPr>
              <w:widowControl/>
              <w:spacing w:line="312" w:lineRule="auto"/>
              <w:ind w:firstLine="360"/>
              <w:jc w:val="center"/>
              <w:rPr>
                <w:rFonts w:ascii="Times New Roman" w:hAnsi="Times New Roman"/>
                <w:kern w:val="0"/>
                <w:sz w:val="18"/>
                <w:szCs w:val="18"/>
              </w:rPr>
            </w:pPr>
            <w:r>
              <w:rPr>
                <w:rFonts w:ascii="Times New Roman" w:hAnsi="Times New Roman"/>
                <w:kern w:val="0"/>
                <w:sz w:val="18"/>
                <w:szCs w:val="18"/>
              </w:rPr>
              <w:t>4.3.2</w:t>
            </w:r>
          </w:p>
        </w:tc>
        <w:tc>
          <w:tcPr>
            <w:tcW w:w="1878" w:type="dxa"/>
            <w:tcBorders>
              <w:top w:val="single" w:color="000000" w:sz="4" w:space="0"/>
              <w:left w:val="nil"/>
              <w:bottom w:val="single" w:color="000000" w:sz="4" w:space="0"/>
              <w:right w:val="single" w:color="000000" w:sz="8" w:space="0"/>
            </w:tcBorders>
            <w:vAlign w:val="center"/>
          </w:tcPr>
          <w:p w14:paraId="16FDE193">
            <w:pPr>
              <w:widowControl/>
              <w:spacing w:line="312" w:lineRule="auto"/>
              <w:ind w:firstLine="360"/>
              <w:jc w:val="center"/>
              <w:rPr>
                <w:rFonts w:ascii="Times New Roman" w:hAnsi="Times New Roman"/>
                <w:kern w:val="0"/>
                <w:sz w:val="18"/>
                <w:szCs w:val="18"/>
              </w:rPr>
            </w:pPr>
            <w:r>
              <w:rPr>
                <w:rFonts w:ascii="Times New Roman" w:hAnsi="Times New Roman"/>
                <w:kern w:val="0"/>
                <w:sz w:val="18"/>
                <w:szCs w:val="18"/>
              </w:rPr>
              <w:t>5.3.2</w:t>
            </w:r>
          </w:p>
        </w:tc>
      </w:tr>
      <w:tr w14:paraId="0D2FBE13">
        <w:tblPrEx>
          <w:tblCellMar>
            <w:top w:w="0" w:type="dxa"/>
            <w:left w:w="108" w:type="dxa"/>
            <w:bottom w:w="0" w:type="dxa"/>
            <w:right w:w="108" w:type="dxa"/>
          </w:tblCellMar>
        </w:tblPrEx>
        <w:trPr>
          <w:trHeight w:val="320" w:hRule="atLeast"/>
          <w:jc w:val="center"/>
        </w:trPr>
        <w:tc>
          <w:tcPr>
            <w:tcW w:w="830" w:type="dxa"/>
            <w:tcBorders>
              <w:top w:val="single" w:color="000000" w:sz="4" w:space="0"/>
              <w:left w:val="single" w:color="000000" w:sz="8" w:space="0"/>
              <w:bottom w:val="single" w:color="000000" w:sz="4" w:space="0"/>
              <w:right w:val="single" w:color="000000" w:sz="4" w:space="0"/>
            </w:tcBorders>
            <w:vAlign w:val="center"/>
          </w:tcPr>
          <w:p w14:paraId="7D785AC4">
            <w:pPr>
              <w:widowControl/>
              <w:spacing w:line="312" w:lineRule="auto"/>
              <w:jc w:val="center"/>
              <w:rPr>
                <w:rFonts w:ascii="Times New Roman" w:hAnsi="Times New Roman"/>
                <w:kern w:val="0"/>
                <w:sz w:val="18"/>
                <w:szCs w:val="18"/>
              </w:rPr>
            </w:pPr>
            <w:r>
              <w:rPr>
                <w:rFonts w:ascii="Times New Roman" w:hAnsi="Times New Roman"/>
                <w:kern w:val="0"/>
                <w:sz w:val="18"/>
                <w:szCs w:val="18"/>
              </w:rPr>
              <w:t>4</w:t>
            </w:r>
          </w:p>
        </w:tc>
        <w:tc>
          <w:tcPr>
            <w:tcW w:w="3764" w:type="dxa"/>
            <w:tcBorders>
              <w:top w:val="single" w:color="000000" w:sz="4" w:space="0"/>
              <w:left w:val="nil"/>
              <w:bottom w:val="single" w:color="000000" w:sz="4" w:space="0"/>
              <w:right w:val="single" w:color="000000" w:sz="4" w:space="0"/>
            </w:tcBorders>
            <w:vAlign w:val="center"/>
          </w:tcPr>
          <w:p w14:paraId="0D3EFA55">
            <w:pPr>
              <w:widowControl/>
              <w:spacing w:line="312" w:lineRule="auto"/>
              <w:jc w:val="center"/>
              <w:rPr>
                <w:rFonts w:ascii="Times New Roman" w:hAnsi="Times New Roman"/>
                <w:kern w:val="0"/>
                <w:sz w:val="18"/>
                <w:szCs w:val="18"/>
              </w:rPr>
            </w:pPr>
            <w:r>
              <w:rPr>
                <w:rFonts w:ascii="Times New Roman" w:hAnsi="Times New Roman"/>
                <w:sz w:val="18"/>
                <w:szCs w:val="18"/>
              </w:rPr>
              <w:t>接触电流</w:t>
            </w:r>
          </w:p>
        </w:tc>
        <w:tc>
          <w:tcPr>
            <w:tcW w:w="1989" w:type="dxa"/>
            <w:tcBorders>
              <w:top w:val="single" w:color="000000" w:sz="4" w:space="0"/>
              <w:left w:val="nil"/>
              <w:bottom w:val="single" w:color="000000" w:sz="4" w:space="0"/>
              <w:right w:val="single" w:color="000000" w:sz="4" w:space="0"/>
            </w:tcBorders>
            <w:vAlign w:val="center"/>
          </w:tcPr>
          <w:p w14:paraId="44163C5C">
            <w:pPr>
              <w:widowControl/>
              <w:spacing w:line="312" w:lineRule="auto"/>
              <w:ind w:firstLine="360"/>
              <w:jc w:val="center"/>
              <w:rPr>
                <w:rFonts w:ascii="Times New Roman" w:hAnsi="Times New Roman"/>
                <w:kern w:val="0"/>
                <w:sz w:val="18"/>
                <w:szCs w:val="18"/>
              </w:rPr>
            </w:pPr>
            <w:r>
              <w:rPr>
                <w:rFonts w:ascii="Times New Roman" w:hAnsi="Times New Roman"/>
                <w:kern w:val="0"/>
                <w:sz w:val="18"/>
                <w:szCs w:val="18"/>
              </w:rPr>
              <w:t>4.3.3</w:t>
            </w:r>
          </w:p>
        </w:tc>
        <w:tc>
          <w:tcPr>
            <w:tcW w:w="1878" w:type="dxa"/>
            <w:tcBorders>
              <w:top w:val="single" w:color="000000" w:sz="4" w:space="0"/>
              <w:left w:val="nil"/>
              <w:bottom w:val="single" w:color="000000" w:sz="4" w:space="0"/>
              <w:right w:val="single" w:color="000000" w:sz="8" w:space="0"/>
            </w:tcBorders>
            <w:vAlign w:val="center"/>
          </w:tcPr>
          <w:p w14:paraId="24167914">
            <w:pPr>
              <w:widowControl/>
              <w:spacing w:line="312" w:lineRule="auto"/>
              <w:ind w:firstLine="360"/>
              <w:jc w:val="center"/>
              <w:rPr>
                <w:rFonts w:ascii="Times New Roman" w:hAnsi="Times New Roman"/>
                <w:kern w:val="0"/>
                <w:sz w:val="18"/>
                <w:szCs w:val="18"/>
              </w:rPr>
            </w:pPr>
            <w:r>
              <w:rPr>
                <w:rFonts w:ascii="Times New Roman" w:hAnsi="Times New Roman"/>
                <w:kern w:val="0"/>
                <w:sz w:val="18"/>
                <w:szCs w:val="18"/>
              </w:rPr>
              <w:t>5.3.3</w:t>
            </w:r>
          </w:p>
        </w:tc>
      </w:tr>
      <w:tr w14:paraId="081E13EB">
        <w:tblPrEx>
          <w:tblCellMar>
            <w:top w:w="0" w:type="dxa"/>
            <w:left w:w="108" w:type="dxa"/>
            <w:bottom w:w="0" w:type="dxa"/>
            <w:right w:w="108" w:type="dxa"/>
          </w:tblCellMar>
        </w:tblPrEx>
        <w:trPr>
          <w:trHeight w:val="320" w:hRule="atLeast"/>
          <w:jc w:val="center"/>
        </w:trPr>
        <w:tc>
          <w:tcPr>
            <w:tcW w:w="830" w:type="dxa"/>
            <w:tcBorders>
              <w:top w:val="single" w:color="000000" w:sz="4" w:space="0"/>
              <w:left w:val="single" w:color="000000" w:sz="8" w:space="0"/>
              <w:bottom w:val="single" w:color="000000" w:sz="4" w:space="0"/>
              <w:right w:val="single" w:color="000000" w:sz="4" w:space="0"/>
            </w:tcBorders>
            <w:vAlign w:val="center"/>
          </w:tcPr>
          <w:p w14:paraId="7B9B8F27">
            <w:pPr>
              <w:widowControl/>
              <w:spacing w:line="312" w:lineRule="auto"/>
              <w:jc w:val="center"/>
              <w:rPr>
                <w:rFonts w:ascii="Times New Roman" w:hAnsi="Times New Roman"/>
                <w:kern w:val="0"/>
                <w:sz w:val="18"/>
                <w:szCs w:val="18"/>
              </w:rPr>
            </w:pPr>
            <w:r>
              <w:rPr>
                <w:rFonts w:ascii="Times New Roman" w:hAnsi="Times New Roman"/>
                <w:kern w:val="0"/>
                <w:sz w:val="18"/>
                <w:szCs w:val="18"/>
              </w:rPr>
              <w:t>5</w:t>
            </w:r>
          </w:p>
        </w:tc>
        <w:tc>
          <w:tcPr>
            <w:tcW w:w="3764" w:type="dxa"/>
            <w:tcBorders>
              <w:top w:val="single" w:color="000000" w:sz="4" w:space="0"/>
              <w:left w:val="nil"/>
              <w:bottom w:val="single" w:color="000000" w:sz="4" w:space="0"/>
              <w:right w:val="single" w:color="000000" w:sz="4" w:space="0"/>
            </w:tcBorders>
            <w:vAlign w:val="center"/>
          </w:tcPr>
          <w:p w14:paraId="19CFCA79">
            <w:pPr>
              <w:widowControl/>
              <w:spacing w:line="312" w:lineRule="auto"/>
              <w:jc w:val="center"/>
              <w:rPr>
                <w:rFonts w:ascii="Times New Roman" w:hAnsi="Times New Roman"/>
                <w:kern w:val="0"/>
                <w:sz w:val="18"/>
                <w:szCs w:val="18"/>
              </w:rPr>
            </w:pPr>
            <w:r>
              <w:rPr>
                <w:rFonts w:ascii="Times New Roman" w:hAnsi="Times New Roman"/>
                <w:sz w:val="18"/>
                <w:szCs w:val="18"/>
              </w:rPr>
              <w:t>保护接地</w:t>
            </w:r>
          </w:p>
        </w:tc>
        <w:tc>
          <w:tcPr>
            <w:tcW w:w="1989" w:type="dxa"/>
            <w:tcBorders>
              <w:top w:val="single" w:color="000000" w:sz="4" w:space="0"/>
              <w:left w:val="nil"/>
              <w:bottom w:val="single" w:color="000000" w:sz="4" w:space="0"/>
              <w:right w:val="single" w:color="000000" w:sz="4" w:space="0"/>
            </w:tcBorders>
            <w:vAlign w:val="center"/>
          </w:tcPr>
          <w:p w14:paraId="53974ECF">
            <w:pPr>
              <w:widowControl/>
              <w:spacing w:line="312" w:lineRule="auto"/>
              <w:ind w:firstLine="360"/>
              <w:jc w:val="center"/>
              <w:rPr>
                <w:rFonts w:ascii="Times New Roman" w:hAnsi="Times New Roman"/>
                <w:kern w:val="0"/>
                <w:sz w:val="18"/>
                <w:szCs w:val="18"/>
              </w:rPr>
            </w:pPr>
            <w:r>
              <w:rPr>
                <w:rFonts w:ascii="Times New Roman" w:hAnsi="Times New Roman"/>
                <w:kern w:val="0"/>
                <w:sz w:val="18"/>
                <w:szCs w:val="18"/>
              </w:rPr>
              <w:t>4.3.4</w:t>
            </w:r>
          </w:p>
        </w:tc>
        <w:tc>
          <w:tcPr>
            <w:tcW w:w="1878" w:type="dxa"/>
            <w:tcBorders>
              <w:top w:val="single" w:color="000000" w:sz="4" w:space="0"/>
              <w:left w:val="nil"/>
              <w:bottom w:val="single" w:color="000000" w:sz="4" w:space="0"/>
              <w:right w:val="single" w:color="000000" w:sz="8" w:space="0"/>
            </w:tcBorders>
            <w:vAlign w:val="center"/>
          </w:tcPr>
          <w:p w14:paraId="6EB746A5">
            <w:pPr>
              <w:widowControl/>
              <w:spacing w:line="312" w:lineRule="auto"/>
              <w:ind w:firstLine="360"/>
              <w:jc w:val="center"/>
              <w:rPr>
                <w:rFonts w:ascii="Times New Roman" w:hAnsi="Times New Roman"/>
                <w:kern w:val="0"/>
                <w:sz w:val="18"/>
                <w:szCs w:val="18"/>
              </w:rPr>
            </w:pPr>
            <w:r>
              <w:rPr>
                <w:rFonts w:ascii="Times New Roman" w:hAnsi="Times New Roman"/>
                <w:kern w:val="0"/>
                <w:sz w:val="18"/>
                <w:szCs w:val="18"/>
              </w:rPr>
              <w:t>5.3.4</w:t>
            </w:r>
          </w:p>
        </w:tc>
      </w:tr>
      <w:tr w14:paraId="5FAE91E3">
        <w:tblPrEx>
          <w:tblCellMar>
            <w:top w:w="0" w:type="dxa"/>
            <w:left w:w="108" w:type="dxa"/>
            <w:bottom w:w="0" w:type="dxa"/>
            <w:right w:w="108" w:type="dxa"/>
          </w:tblCellMar>
        </w:tblPrEx>
        <w:trPr>
          <w:trHeight w:val="320" w:hRule="atLeast"/>
          <w:jc w:val="center"/>
        </w:trPr>
        <w:tc>
          <w:tcPr>
            <w:tcW w:w="830" w:type="dxa"/>
            <w:tcBorders>
              <w:top w:val="single" w:color="000000" w:sz="4" w:space="0"/>
              <w:left w:val="single" w:color="000000" w:sz="8" w:space="0"/>
              <w:bottom w:val="single" w:color="000000" w:sz="4" w:space="0"/>
              <w:right w:val="single" w:color="000000" w:sz="4" w:space="0"/>
            </w:tcBorders>
            <w:vAlign w:val="center"/>
          </w:tcPr>
          <w:p w14:paraId="04EEC81C">
            <w:pPr>
              <w:widowControl/>
              <w:spacing w:line="312" w:lineRule="auto"/>
              <w:jc w:val="center"/>
              <w:rPr>
                <w:rFonts w:ascii="Times New Roman" w:hAnsi="Times New Roman"/>
                <w:kern w:val="0"/>
                <w:sz w:val="18"/>
                <w:szCs w:val="18"/>
              </w:rPr>
            </w:pPr>
            <w:r>
              <w:rPr>
                <w:rFonts w:ascii="Times New Roman" w:hAnsi="Times New Roman"/>
                <w:kern w:val="0"/>
                <w:sz w:val="18"/>
                <w:szCs w:val="18"/>
              </w:rPr>
              <w:t>6</w:t>
            </w:r>
          </w:p>
        </w:tc>
        <w:tc>
          <w:tcPr>
            <w:tcW w:w="3764" w:type="dxa"/>
            <w:tcBorders>
              <w:top w:val="single" w:color="000000" w:sz="4" w:space="0"/>
              <w:left w:val="nil"/>
              <w:bottom w:val="single" w:color="000000" w:sz="4" w:space="0"/>
              <w:right w:val="single" w:color="000000" w:sz="4" w:space="0"/>
            </w:tcBorders>
            <w:vAlign w:val="center"/>
          </w:tcPr>
          <w:p w14:paraId="577F9451">
            <w:pPr>
              <w:widowControl/>
              <w:spacing w:line="312" w:lineRule="auto"/>
              <w:jc w:val="center"/>
              <w:rPr>
                <w:rFonts w:ascii="Times New Roman" w:hAnsi="Times New Roman"/>
                <w:kern w:val="0"/>
                <w:sz w:val="18"/>
                <w:szCs w:val="18"/>
              </w:rPr>
            </w:pPr>
            <w:r>
              <w:rPr>
                <w:rFonts w:ascii="Times New Roman" w:hAnsi="Times New Roman"/>
                <w:sz w:val="18"/>
                <w:szCs w:val="18"/>
              </w:rPr>
              <w:t>气路密封性</w:t>
            </w:r>
          </w:p>
        </w:tc>
        <w:tc>
          <w:tcPr>
            <w:tcW w:w="1989" w:type="dxa"/>
            <w:tcBorders>
              <w:top w:val="single" w:color="000000" w:sz="4" w:space="0"/>
              <w:left w:val="nil"/>
              <w:bottom w:val="single" w:color="000000" w:sz="4" w:space="0"/>
              <w:right w:val="single" w:color="000000" w:sz="4" w:space="0"/>
            </w:tcBorders>
            <w:vAlign w:val="center"/>
          </w:tcPr>
          <w:p w14:paraId="5469BF77">
            <w:pPr>
              <w:widowControl/>
              <w:spacing w:line="312" w:lineRule="auto"/>
              <w:ind w:firstLine="360"/>
              <w:jc w:val="center"/>
              <w:rPr>
                <w:rFonts w:ascii="Times New Roman" w:hAnsi="Times New Roman"/>
                <w:kern w:val="0"/>
                <w:sz w:val="18"/>
                <w:szCs w:val="18"/>
              </w:rPr>
            </w:pPr>
            <w:r>
              <w:rPr>
                <w:rFonts w:ascii="Times New Roman" w:hAnsi="Times New Roman"/>
                <w:kern w:val="0"/>
                <w:sz w:val="18"/>
                <w:szCs w:val="18"/>
              </w:rPr>
              <w:t>4.4</w:t>
            </w:r>
          </w:p>
        </w:tc>
        <w:tc>
          <w:tcPr>
            <w:tcW w:w="1878" w:type="dxa"/>
            <w:tcBorders>
              <w:top w:val="single" w:color="000000" w:sz="4" w:space="0"/>
              <w:left w:val="nil"/>
              <w:bottom w:val="single" w:color="000000" w:sz="4" w:space="0"/>
              <w:right w:val="single" w:color="000000" w:sz="8" w:space="0"/>
            </w:tcBorders>
            <w:vAlign w:val="center"/>
          </w:tcPr>
          <w:p w14:paraId="77E3227A">
            <w:pPr>
              <w:widowControl/>
              <w:spacing w:line="312" w:lineRule="auto"/>
              <w:ind w:firstLine="360"/>
              <w:jc w:val="center"/>
              <w:rPr>
                <w:rFonts w:ascii="Times New Roman" w:hAnsi="Times New Roman"/>
                <w:kern w:val="0"/>
                <w:sz w:val="18"/>
                <w:szCs w:val="18"/>
              </w:rPr>
            </w:pPr>
            <w:r>
              <w:rPr>
                <w:rFonts w:ascii="Times New Roman" w:hAnsi="Times New Roman"/>
                <w:kern w:val="0"/>
                <w:sz w:val="18"/>
                <w:szCs w:val="18"/>
              </w:rPr>
              <w:t>5.4</w:t>
            </w:r>
          </w:p>
        </w:tc>
      </w:tr>
      <w:tr w14:paraId="6C69A559">
        <w:tblPrEx>
          <w:tblCellMar>
            <w:top w:w="0" w:type="dxa"/>
            <w:left w:w="108" w:type="dxa"/>
            <w:bottom w:w="0" w:type="dxa"/>
            <w:right w:w="108" w:type="dxa"/>
          </w:tblCellMar>
        </w:tblPrEx>
        <w:trPr>
          <w:trHeight w:val="320" w:hRule="atLeast"/>
          <w:jc w:val="center"/>
        </w:trPr>
        <w:tc>
          <w:tcPr>
            <w:tcW w:w="830" w:type="dxa"/>
            <w:tcBorders>
              <w:top w:val="single" w:color="000000" w:sz="4" w:space="0"/>
              <w:left w:val="single" w:color="000000" w:sz="8" w:space="0"/>
              <w:bottom w:val="single" w:color="000000" w:sz="4" w:space="0"/>
              <w:right w:val="single" w:color="000000" w:sz="4" w:space="0"/>
            </w:tcBorders>
            <w:vAlign w:val="center"/>
          </w:tcPr>
          <w:p w14:paraId="471F9D23">
            <w:pPr>
              <w:widowControl/>
              <w:spacing w:line="312" w:lineRule="auto"/>
              <w:jc w:val="center"/>
              <w:rPr>
                <w:rFonts w:ascii="Times New Roman" w:hAnsi="Times New Roman"/>
                <w:kern w:val="0"/>
                <w:sz w:val="18"/>
                <w:szCs w:val="18"/>
              </w:rPr>
            </w:pPr>
            <w:r>
              <w:rPr>
                <w:rFonts w:ascii="Times New Roman" w:hAnsi="Times New Roman"/>
                <w:kern w:val="0"/>
                <w:sz w:val="18"/>
                <w:szCs w:val="18"/>
              </w:rPr>
              <w:t>7</w:t>
            </w:r>
          </w:p>
        </w:tc>
        <w:tc>
          <w:tcPr>
            <w:tcW w:w="3764" w:type="dxa"/>
            <w:tcBorders>
              <w:top w:val="single" w:color="000000" w:sz="4" w:space="0"/>
              <w:left w:val="nil"/>
              <w:bottom w:val="single" w:color="000000" w:sz="4" w:space="0"/>
              <w:right w:val="single" w:color="000000" w:sz="4" w:space="0"/>
            </w:tcBorders>
            <w:vAlign w:val="center"/>
          </w:tcPr>
          <w:p w14:paraId="22DC223B">
            <w:pPr>
              <w:widowControl/>
              <w:spacing w:line="312" w:lineRule="auto"/>
              <w:jc w:val="center"/>
              <w:rPr>
                <w:rFonts w:ascii="Times New Roman" w:hAnsi="Times New Roman"/>
                <w:kern w:val="0"/>
                <w:sz w:val="18"/>
                <w:szCs w:val="18"/>
              </w:rPr>
            </w:pPr>
            <w:r>
              <w:rPr>
                <w:rFonts w:ascii="Times New Roman" w:hAnsi="Times New Roman"/>
                <w:sz w:val="18"/>
                <w:szCs w:val="18"/>
              </w:rPr>
              <w:t>气室温度稳定性</w:t>
            </w:r>
          </w:p>
        </w:tc>
        <w:tc>
          <w:tcPr>
            <w:tcW w:w="1989" w:type="dxa"/>
            <w:tcBorders>
              <w:top w:val="single" w:color="000000" w:sz="4" w:space="0"/>
              <w:left w:val="nil"/>
              <w:bottom w:val="single" w:color="000000" w:sz="4" w:space="0"/>
              <w:right w:val="single" w:color="000000" w:sz="4" w:space="0"/>
            </w:tcBorders>
            <w:vAlign w:val="center"/>
          </w:tcPr>
          <w:p w14:paraId="7219F517">
            <w:pPr>
              <w:widowControl/>
              <w:spacing w:line="312" w:lineRule="auto"/>
              <w:ind w:firstLine="360"/>
              <w:jc w:val="center"/>
              <w:rPr>
                <w:rFonts w:ascii="Times New Roman" w:hAnsi="Times New Roman"/>
                <w:kern w:val="0"/>
                <w:sz w:val="18"/>
                <w:szCs w:val="18"/>
              </w:rPr>
            </w:pPr>
            <w:r>
              <w:rPr>
                <w:rFonts w:ascii="Times New Roman" w:hAnsi="Times New Roman"/>
                <w:kern w:val="0"/>
                <w:sz w:val="18"/>
                <w:szCs w:val="18"/>
              </w:rPr>
              <w:t>4.5</w:t>
            </w:r>
          </w:p>
        </w:tc>
        <w:tc>
          <w:tcPr>
            <w:tcW w:w="1878" w:type="dxa"/>
            <w:tcBorders>
              <w:top w:val="single" w:color="000000" w:sz="4" w:space="0"/>
              <w:left w:val="nil"/>
              <w:bottom w:val="single" w:color="000000" w:sz="4" w:space="0"/>
              <w:right w:val="single" w:color="000000" w:sz="8" w:space="0"/>
            </w:tcBorders>
            <w:vAlign w:val="center"/>
          </w:tcPr>
          <w:p w14:paraId="68DC7461">
            <w:pPr>
              <w:widowControl/>
              <w:spacing w:line="312" w:lineRule="auto"/>
              <w:ind w:firstLine="360"/>
              <w:jc w:val="center"/>
              <w:rPr>
                <w:rFonts w:ascii="Times New Roman" w:hAnsi="Times New Roman"/>
                <w:kern w:val="0"/>
                <w:sz w:val="18"/>
                <w:szCs w:val="18"/>
              </w:rPr>
            </w:pPr>
            <w:r>
              <w:rPr>
                <w:rFonts w:ascii="Times New Roman" w:hAnsi="Times New Roman"/>
                <w:kern w:val="0"/>
                <w:sz w:val="18"/>
                <w:szCs w:val="18"/>
              </w:rPr>
              <w:t>5.5</w:t>
            </w:r>
          </w:p>
        </w:tc>
      </w:tr>
      <w:tr w14:paraId="65D2E920">
        <w:tblPrEx>
          <w:tblCellMar>
            <w:top w:w="0" w:type="dxa"/>
            <w:left w:w="108" w:type="dxa"/>
            <w:bottom w:w="0" w:type="dxa"/>
            <w:right w:w="108" w:type="dxa"/>
          </w:tblCellMar>
        </w:tblPrEx>
        <w:trPr>
          <w:trHeight w:val="320" w:hRule="atLeast"/>
          <w:jc w:val="center"/>
        </w:trPr>
        <w:tc>
          <w:tcPr>
            <w:tcW w:w="830" w:type="dxa"/>
            <w:tcBorders>
              <w:top w:val="single" w:color="000000" w:sz="4" w:space="0"/>
              <w:left w:val="single" w:color="000000" w:sz="8" w:space="0"/>
              <w:bottom w:val="single" w:color="000000" w:sz="4" w:space="0"/>
              <w:right w:val="single" w:color="000000" w:sz="4" w:space="0"/>
            </w:tcBorders>
            <w:vAlign w:val="center"/>
          </w:tcPr>
          <w:p w14:paraId="2BF927B1">
            <w:pPr>
              <w:widowControl/>
              <w:spacing w:line="312" w:lineRule="auto"/>
              <w:jc w:val="center"/>
              <w:rPr>
                <w:rFonts w:ascii="Times New Roman" w:hAnsi="Times New Roman"/>
                <w:kern w:val="0"/>
                <w:sz w:val="18"/>
                <w:szCs w:val="18"/>
              </w:rPr>
            </w:pPr>
            <w:r>
              <w:rPr>
                <w:rFonts w:ascii="Times New Roman" w:hAnsi="Times New Roman"/>
                <w:kern w:val="0"/>
                <w:sz w:val="18"/>
                <w:szCs w:val="18"/>
              </w:rPr>
              <w:t>8</w:t>
            </w:r>
          </w:p>
        </w:tc>
        <w:tc>
          <w:tcPr>
            <w:tcW w:w="3764" w:type="dxa"/>
            <w:tcBorders>
              <w:top w:val="single" w:color="000000" w:sz="4" w:space="0"/>
              <w:left w:val="nil"/>
              <w:bottom w:val="single" w:color="000000" w:sz="4" w:space="0"/>
              <w:right w:val="single" w:color="000000" w:sz="4" w:space="0"/>
            </w:tcBorders>
            <w:vAlign w:val="center"/>
          </w:tcPr>
          <w:p w14:paraId="10747B8F">
            <w:pPr>
              <w:widowControl/>
              <w:spacing w:line="312" w:lineRule="auto"/>
              <w:jc w:val="center"/>
              <w:rPr>
                <w:rFonts w:ascii="Times New Roman" w:hAnsi="Times New Roman"/>
                <w:kern w:val="0"/>
                <w:sz w:val="18"/>
                <w:szCs w:val="18"/>
              </w:rPr>
            </w:pPr>
            <w:r>
              <w:rPr>
                <w:rFonts w:ascii="Times New Roman" w:hAnsi="Times New Roman"/>
                <w:sz w:val="18"/>
                <w:szCs w:val="18"/>
              </w:rPr>
              <w:t>检出限</w:t>
            </w:r>
          </w:p>
        </w:tc>
        <w:tc>
          <w:tcPr>
            <w:tcW w:w="1989" w:type="dxa"/>
            <w:tcBorders>
              <w:top w:val="single" w:color="000000" w:sz="4" w:space="0"/>
              <w:left w:val="nil"/>
              <w:bottom w:val="single" w:color="000000" w:sz="4" w:space="0"/>
              <w:right w:val="single" w:color="000000" w:sz="4" w:space="0"/>
            </w:tcBorders>
            <w:vAlign w:val="center"/>
          </w:tcPr>
          <w:p w14:paraId="5FB4D0A6">
            <w:pPr>
              <w:widowControl/>
              <w:spacing w:line="312" w:lineRule="auto"/>
              <w:ind w:firstLine="360"/>
              <w:jc w:val="center"/>
              <w:rPr>
                <w:rFonts w:ascii="Times New Roman" w:hAnsi="Times New Roman"/>
                <w:kern w:val="0"/>
                <w:sz w:val="18"/>
                <w:szCs w:val="18"/>
              </w:rPr>
            </w:pPr>
            <w:r>
              <w:rPr>
                <w:rFonts w:ascii="Times New Roman" w:hAnsi="Times New Roman"/>
                <w:kern w:val="0"/>
                <w:sz w:val="18"/>
                <w:szCs w:val="18"/>
              </w:rPr>
              <w:t>4.6.1</w:t>
            </w:r>
          </w:p>
        </w:tc>
        <w:tc>
          <w:tcPr>
            <w:tcW w:w="1878" w:type="dxa"/>
            <w:tcBorders>
              <w:top w:val="single" w:color="000000" w:sz="4" w:space="0"/>
              <w:left w:val="nil"/>
              <w:bottom w:val="single" w:color="000000" w:sz="4" w:space="0"/>
              <w:right w:val="single" w:color="000000" w:sz="8" w:space="0"/>
            </w:tcBorders>
            <w:vAlign w:val="center"/>
          </w:tcPr>
          <w:p w14:paraId="36B556E2">
            <w:pPr>
              <w:widowControl/>
              <w:spacing w:line="312" w:lineRule="auto"/>
              <w:ind w:firstLine="360"/>
              <w:jc w:val="center"/>
              <w:rPr>
                <w:rFonts w:ascii="Times New Roman" w:hAnsi="Times New Roman"/>
                <w:kern w:val="0"/>
                <w:sz w:val="18"/>
                <w:szCs w:val="18"/>
              </w:rPr>
            </w:pPr>
            <w:r>
              <w:rPr>
                <w:rFonts w:ascii="Times New Roman" w:hAnsi="Times New Roman"/>
                <w:kern w:val="0"/>
                <w:sz w:val="18"/>
                <w:szCs w:val="18"/>
              </w:rPr>
              <w:t>5.6.2</w:t>
            </w:r>
          </w:p>
        </w:tc>
      </w:tr>
      <w:tr w14:paraId="0CC5F01F">
        <w:tblPrEx>
          <w:tblCellMar>
            <w:top w:w="0" w:type="dxa"/>
            <w:left w:w="108" w:type="dxa"/>
            <w:bottom w:w="0" w:type="dxa"/>
            <w:right w:w="108" w:type="dxa"/>
          </w:tblCellMar>
        </w:tblPrEx>
        <w:trPr>
          <w:trHeight w:val="320" w:hRule="atLeast"/>
          <w:jc w:val="center"/>
        </w:trPr>
        <w:tc>
          <w:tcPr>
            <w:tcW w:w="830" w:type="dxa"/>
            <w:tcBorders>
              <w:top w:val="single" w:color="000000" w:sz="4" w:space="0"/>
              <w:left w:val="single" w:color="000000" w:sz="8" w:space="0"/>
              <w:bottom w:val="single" w:color="000000" w:sz="4" w:space="0"/>
              <w:right w:val="single" w:color="000000" w:sz="4" w:space="0"/>
            </w:tcBorders>
            <w:vAlign w:val="center"/>
          </w:tcPr>
          <w:p w14:paraId="67466656">
            <w:pPr>
              <w:widowControl/>
              <w:spacing w:line="312" w:lineRule="auto"/>
              <w:jc w:val="center"/>
              <w:rPr>
                <w:rFonts w:ascii="Times New Roman" w:hAnsi="Times New Roman"/>
                <w:kern w:val="0"/>
                <w:sz w:val="18"/>
                <w:szCs w:val="18"/>
              </w:rPr>
            </w:pPr>
            <w:r>
              <w:rPr>
                <w:rFonts w:ascii="Times New Roman" w:hAnsi="Times New Roman"/>
                <w:kern w:val="0"/>
                <w:sz w:val="18"/>
                <w:szCs w:val="18"/>
              </w:rPr>
              <w:t>9</w:t>
            </w:r>
          </w:p>
        </w:tc>
        <w:tc>
          <w:tcPr>
            <w:tcW w:w="3764" w:type="dxa"/>
            <w:tcBorders>
              <w:top w:val="single" w:color="000000" w:sz="4" w:space="0"/>
              <w:left w:val="nil"/>
              <w:bottom w:val="single" w:color="000000" w:sz="4" w:space="0"/>
              <w:right w:val="single" w:color="000000" w:sz="4" w:space="0"/>
            </w:tcBorders>
            <w:vAlign w:val="center"/>
          </w:tcPr>
          <w:p w14:paraId="12D0D8CC">
            <w:pPr>
              <w:widowControl/>
              <w:spacing w:line="312" w:lineRule="auto"/>
              <w:jc w:val="center"/>
              <w:rPr>
                <w:rFonts w:ascii="Times New Roman" w:hAnsi="Times New Roman"/>
                <w:kern w:val="0"/>
                <w:sz w:val="18"/>
                <w:szCs w:val="18"/>
              </w:rPr>
            </w:pPr>
            <w:r>
              <w:rPr>
                <w:rFonts w:ascii="Times New Roman" w:hAnsi="Times New Roman"/>
                <w:sz w:val="18"/>
                <w:szCs w:val="18"/>
              </w:rPr>
              <w:t>示值误差</w:t>
            </w:r>
          </w:p>
        </w:tc>
        <w:tc>
          <w:tcPr>
            <w:tcW w:w="1989" w:type="dxa"/>
            <w:tcBorders>
              <w:top w:val="single" w:color="000000" w:sz="4" w:space="0"/>
              <w:left w:val="nil"/>
              <w:bottom w:val="single" w:color="000000" w:sz="4" w:space="0"/>
              <w:right w:val="single" w:color="000000" w:sz="4" w:space="0"/>
            </w:tcBorders>
            <w:vAlign w:val="center"/>
          </w:tcPr>
          <w:p w14:paraId="7119BEA2">
            <w:pPr>
              <w:widowControl/>
              <w:spacing w:line="312" w:lineRule="auto"/>
              <w:ind w:firstLine="360"/>
              <w:jc w:val="center"/>
              <w:rPr>
                <w:rFonts w:ascii="Times New Roman" w:hAnsi="Times New Roman"/>
                <w:kern w:val="0"/>
                <w:sz w:val="18"/>
                <w:szCs w:val="18"/>
              </w:rPr>
            </w:pPr>
            <w:r>
              <w:rPr>
                <w:rFonts w:ascii="Times New Roman" w:hAnsi="Times New Roman"/>
                <w:kern w:val="0"/>
                <w:sz w:val="18"/>
                <w:szCs w:val="18"/>
              </w:rPr>
              <w:t>4.6.2</w:t>
            </w:r>
          </w:p>
        </w:tc>
        <w:tc>
          <w:tcPr>
            <w:tcW w:w="1878" w:type="dxa"/>
            <w:tcBorders>
              <w:top w:val="single" w:color="000000" w:sz="4" w:space="0"/>
              <w:left w:val="nil"/>
              <w:bottom w:val="single" w:color="000000" w:sz="4" w:space="0"/>
              <w:right w:val="single" w:color="000000" w:sz="8" w:space="0"/>
            </w:tcBorders>
            <w:vAlign w:val="center"/>
          </w:tcPr>
          <w:p w14:paraId="03B3335C">
            <w:pPr>
              <w:widowControl/>
              <w:spacing w:line="312" w:lineRule="auto"/>
              <w:ind w:firstLine="360"/>
              <w:jc w:val="center"/>
              <w:rPr>
                <w:rFonts w:ascii="Times New Roman" w:hAnsi="Times New Roman"/>
                <w:kern w:val="0"/>
                <w:sz w:val="18"/>
                <w:szCs w:val="18"/>
              </w:rPr>
            </w:pPr>
            <w:r>
              <w:rPr>
                <w:rFonts w:ascii="Times New Roman" w:hAnsi="Times New Roman"/>
                <w:kern w:val="0"/>
                <w:sz w:val="18"/>
                <w:szCs w:val="18"/>
              </w:rPr>
              <w:t>5.6.3</w:t>
            </w:r>
          </w:p>
        </w:tc>
      </w:tr>
      <w:tr w14:paraId="7E6979A1">
        <w:tblPrEx>
          <w:tblCellMar>
            <w:top w:w="0" w:type="dxa"/>
            <w:left w:w="108" w:type="dxa"/>
            <w:bottom w:w="0" w:type="dxa"/>
            <w:right w:w="108" w:type="dxa"/>
          </w:tblCellMar>
        </w:tblPrEx>
        <w:trPr>
          <w:trHeight w:val="320" w:hRule="atLeast"/>
          <w:jc w:val="center"/>
        </w:trPr>
        <w:tc>
          <w:tcPr>
            <w:tcW w:w="830" w:type="dxa"/>
            <w:tcBorders>
              <w:top w:val="single" w:color="000000" w:sz="4" w:space="0"/>
              <w:left w:val="single" w:color="000000" w:sz="8" w:space="0"/>
              <w:bottom w:val="single" w:color="000000" w:sz="4" w:space="0"/>
              <w:right w:val="single" w:color="000000" w:sz="4" w:space="0"/>
            </w:tcBorders>
            <w:vAlign w:val="center"/>
          </w:tcPr>
          <w:p w14:paraId="2099825F">
            <w:pPr>
              <w:widowControl/>
              <w:spacing w:line="312" w:lineRule="auto"/>
              <w:jc w:val="center"/>
              <w:rPr>
                <w:rFonts w:ascii="Times New Roman" w:hAnsi="Times New Roman"/>
                <w:kern w:val="0"/>
                <w:sz w:val="18"/>
                <w:szCs w:val="18"/>
              </w:rPr>
            </w:pPr>
            <w:r>
              <w:rPr>
                <w:rFonts w:ascii="Times New Roman" w:hAnsi="Times New Roman"/>
                <w:kern w:val="0"/>
                <w:sz w:val="18"/>
                <w:szCs w:val="18"/>
              </w:rPr>
              <w:t>10</w:t>
            </w:r>
          </w:p>
        </w:tc>
        <w:tc>
          <w:tcPr>
            <w:tcW w:w="3764" w:type="dxa"/>
            <w:tcBorders>
              <w:top w:val="single" w:color="000000" w:sz="4" w:space="0"/>
              <w:left w:val="nil"/>
              <w:bottom w:val="single" w:color="000000" w:sz="4" w:space="0"/>
              <w:right w:val="single" w:color="000000" w:sz="4" w:space="0"/>
            </w:tcBorders>
            <w:vAlign w:val="center"/>
          </w:tcPr>
          <w:p w14:paraId="3C2B3753">
            <w:pPr>
              <w:widowControl/>
              <w:spacing w:line="312" w:lineRule="auto"/>
              <w:jc w:val="center"/>
              <w:rPr>
                <w:rFonts w:ascii="Times New Roman" w:hAnsi="Times New Roman"/>
                <w:kern w:val="0"/>
                <w:sz w:val="18"/>
                <w:szCs w:val="18"/>
              </w:rPr>
            </w:pPr>
            <w:r>
              <w:rPr>
                <w:rFonts w:ascii="Times New Roman" w:hAnsi="Times New Roman"/>
                <w:sz w:val="18"/>
                <w:szCs w:val="18"/>
              </w:rPr>
              <w:t>重复性</w:t>
            </w:r>
          </w:p>
        </w:tc>
        <w:tc>
          <w:tcPr>
            <w:tcW w:w="1989" w:type="dxa"/>
            <w:tcBorders>
              <w:top w:val="single" w:color="000000" w:sz="4" w:space="0"/>
              <w:left w:val="nil"/>
              <w:bottom w:val="single" w:color="000000" w:sz="4" w:space="0"/>
              <w:right w:val="single" w:color="000000" w:sz="4" w:space="0"/>
            </w:tcBorders>
            <w:vAlign w:val="center"/>
          </w:tcPr>
          <w:p w14:paraId="60F6498F">
            <w:pPr>
              <w:widowControl/>
              <w:spacing w:line="312" w:lineRule="auto"/>
              <w:ind w:firstLine="360"/>
              <w:jc w:val="center"/>
              <w:rPr>
                <w:rFonts w:ascii="Times New Roman" w:hAnsi="Times New Roman"/>
                <w:kern w:val="0"/>
                <w:sz w:val="18"/>
                <w:szCs w:val="18"/>
              </w:rPr>
            </w:pPr>
            <w:r>
              <w:rPr>
                <w:rFonts w:ascii="Times New Roman" w:hAnsi="Times New Roman"/>
                <w:kern w:val="0"/>
                <w:sz w:val="18"/>
                <w:szCs w:val="18"/>
              </w:rPr>
              <w:t>4.6.3</w:t>
            </w:r>
          </w:p>
        </w:tc>
        <w:tc>
          <w:tcPr>
            <w:tcW w:w="1878" w:type="dxa"/>
            <w:tcBorders>
              <w:top w:val="single" w:color="000000" w:sz="4" w:space="0"/>
              <w:left w:val="nil"/>
              <w:bottom w:val="single" w:color="000000" w:sz="4" w:space="0"/>
              <w:right w:val="single" w:color="000000" w:sz="8" w:space="0"/>
            </w:tcBorders>
            <w:vAlign w:val="center"/>
          </w:tcPr>
          <w:p w14:paraId="6370EE0E">
            <w:pPr>
              <w:widowControl/>
              <w:spacing w:line="312" w:lineRule="auto"/>
              <w:ind w:firstLine="360"/>
              <w:jc w:val="center"/>
              <w:rPr>
                <w:rFonts w:ascii="Times New Roman" w:hAnsi="Times New Roman"/>
                <w:kern w:val="0"/>
                <w:sz w:val="18"/>
                <w:szCs w:val="18"/>
              </w:rPr>
            </w:pPr>
            <w:r>
              <w:rPr>
                <w:rFonts w:ascii="Times New Roman" w:hAnsi="Times New Roman"/>
                <w:kern w:val="0"/>
                <w:sz w:val="18"/>
                <w:szCs w:val="18"/>
              </w:rPr>
              <w:t>5.6.4</w:t>
            </w:r>
          </w:p>
        </w:tc>
      </w:tr>
      <w:tr w14:paraId="6076BCC1">
        <w:tblPrEx>
          <w:tblCellMar>
            <w:top w:w="0" w:type="dxa"/>
            <w:left w:w="108" w:type="dxa"/>
            <w:bottom w:w="0" w:type="dxa"/>
            <w:right w:w="108" w:type="dxa"/>
          </w:tblCellMar>
        </w:tblPrEx>
        <w:trPr>
          <w:trHeight w:val="320" w:hRule="atLeast"/>
          <w:jc w:val="center"/>
        </w:trPr>
        <w:tc>
          <w:tcPr>
            <w:tcW w:w="830" w:type="dxa"/>
            <w:tcBorders>
              <w:top w:val="single" w:color="000000" w:sz="4" w:space="0"/>
              <w:left w:val="single" w:color="000000" w:sz="8" w:space="0"/>
              <w:bottom w:val="single" w:color="000000" w:sz="4" w:space="0"/>
              <w:right w:val="single" w:color="000000" w:sz="4" w:space="0"/>
            </w:tcBorders>
            <w:vAlign w:val="center"/>
          </w:tcPr>
          <w:p w14:paraId="2F6C20EE">
            <w:pPr>
              <w:widowControl/>
              <w:spacing w:line="312" w:lineRule="auto"/>
              <w:jc w:val="center"/>
              <w:rPr>
                <w:rFonts w:ascii="Times New Roman" w:hAnsi="Times New Roman"/>
                <w:kern w:val="0"/>
                <w:sz w:val="18"/>
                <w:szCs w:val="18"/>
              </w:rPr>
            </w:pPr>
            <w:r>
              <w:rPr>
                <w:rFonts w:ascii="Times New Roman" w:hAnsi="Times New Roman"/>
                <w:kern w:val="0"/>
                <w:sz w:val="18"/>
                <w:szCs w:val="18"/>
              </w:rPr>
              <w:t>11</w:t>
            </w:r>
          </w:p>
        </w:tc>
        <w:tc>
          <w:tcPr>
            <w:tcW w:w="3764" w:type="dxa"/>
            <w:tcBorders>
              <w:top w:val="single" w:color="000000" w:sz="4" w:space="0"/>
              <w:left w:val="nil"/>
              <w:bottom w:val="single" w:color="000000" w:sz="4" w:space="0"/>
              <w:right w:val="single" w:color="000000" w:sz="4" w:space="0"/>
            </w:tcBorders>
            <w:vAlign w:val="center"/>
          </w:tcPr>
          <w:p w14:paraId="623825A6">
            <w:pPr>
              <w:widowControl/>
              <w:spacing w:line="312" w:lineRule="auto"/>
              <w:jc w:val="center"/>
              <w:rPr>
                <w:rFonts w:ascii="Times New Roman" w:hAnsi="Times New Roman"/>
                <w:kern w:val="0"/>
                <w:sz w:val="18"/>
                <w:szCs w:val="18"/>
              </w:rPr>
            </w:pPr>
            <w:r>
              <w:rPr>
                <w:rFonts w:ascii="Times New Roman" w:hAnsi="Times New Roman"/>
                <w:sz w:val="18"/>
                <w:szCs w:val="18"/>
              </w:rPr>
              <w:t>响应时间</w:t>
            </w:r>
          </w:p>
        </w:tc>
        <w:tc>
          <w:tcPr>
            <w:tcW w:w="1989" w:type="dxa"/>
            <w:tcBorders>
              <w:top w:val="single" w:color="000000" w:sz="4" w:space="0"/>
              <w:left w:val="nil"/>
              <w:bottom w:val="single" w:color="000000" w:sz="4" w:space="0"/>
              <w:right w:val="single" w:color="000000" w:sz="4" w:space="0"/>
            </w:tcBorders>
            <w:vAlign w:val="center"/>
          </w:tcPr>
          <w:p w14:paraId="1F092D52">
            <w:pPr>
              <w:widowControl/>
              <w:spacing w:line="312" w:lineRule="auto"/>
              <w:ind w:firstLine="360"/>
              <w:jc w:val="center"/>
              <w:rPr>
                <w:rFonts w:ascii="Times New Roman" w:hAnsi="Times New Roman"/>
                <w:kern w:val="0"/>
                <w:sz w:val="18"/>
                <w:szCs w:val="18"/>
              </w:rPr>
            </w:pPr>
            <w:r>
              <w:rPr>
                <w:rFonts w:ascii="Times New Roman" w:hAnsi="Times New Roman"/>
                <w:kern w:val="0"/>
                <w:sz w:val="18"/>
                <w:szCs w:val="18"/>
              </w:rPr>
              <w:t>4.6.4</w:t>
            </w:r>
          </w:p>
        </w:tc>
        <w:tc>
          <w:tcPr>
            <w:tcW w:w="1878" w:type="dxa"/>
            <w:tcBorders>
              <w:top w:val="single" w:color="000000" w:sz="4" w:space="0"/>
              <w:left w:val="nil"/>
              <w:bottom w:val="single" w:color="000000" w:sz="4" w:space="0"/>
              <w:right w:val="single" w:color="000000" w:sz="8" w:space="0"/>
            </w:tcBorders>
            <w:vAlign w:val="center"/>
          </w:tcPr>
          <w:p w14:paraId="3E1C585D">
            <w:pPr>
              <w:widowControl/>
              <w:spacing w:line="312" w:lineRule="auto"/>
              <w:ind w:firstLine="360"/>
              <w:jc w:val="center"/>
              <w:rPr>
                <w:rFonts w:ascii="Times New Roman" w:hAnsi="Times New Roman"/>
                <w:kern w:val="0"/>
                <w:sz w:val="18"/>
                <w:szCs w:val="18"/>
              </w:rPr>
            </w:pPr>
            <w:r>
              <w:rPr>
                <w:rFonts w:ascii="Times New Roman" w:hAnsi="Times New Roman"/>
                <w:kern w:val="0"/>
                <w:sz w:val="18"/>
                <w:szCs w:val="18"/>
              </w:rPr>
              <w:t>5.6.5</w:t>
            </w:r>
          </w:p>
        </w:tc>
      </w:tr>
      <w:tr w14:paraId="3A47B936">
        <w:tblPrEx>
          <w:tblCellMar>
            <w:top w:w="0" w:type="dxa"/>
            <w:left w:w="108" w:type="dxa"/>
            <w:bottom w:w="0" w:type="dxa"/>
            <w:right w:w="108" w:type="dxa"/>
          </w:tblCellMar>
        </w:tblPrEx>
        <w:trPr>
          <w:trHeight w:val="320" w:hRule="atLeast"/>
          <w:jc w:val="center"/>
        </w:trPr>
        <w:tc>
          <w:tcPr>
            <w:tcW w:w="830" w:type="dxa"/>
            <w:tcBorders>
              <w:top w:val="single" w:color="000000" w:sz="4" w:space="0"/>
              <w:left w:val="single" w:color="000000" w:sz="8" w:space="0"/>
              <w:bottom w:val="single" w:color="000000" w:sz="4" w:space="0"/>
              <w:right w:val="single" w:color="000000" w:sz="4" w:space="0"/>
            </w:tcBorders>
            <w:vAlign w:val="center"/>
          </w:tcPr>
          <w:p w14:paraId="46341134">
            <w:pPr>
              <w:widowControl/>
              <w:spacing w:line="312" w:lineRule="auto"/>
              <w:jc w:val="center"/>
              <w:rPr>
                <w:rFonts w:ascii="Times New Roman" w:hAnsi="Times New Roman"/>
                <w:kern w:val="0"/>
                <w:sz w:val="18"/>
                <w:szCs w:val="18"/>
              </w:rPr>
            </w:pPr>
            <w:r>
              <w:rPr>
                <w:rFonts w:ascii="Times New Roman" w:hAnsi="Times New Roman"/>
                <w:kern w:val="0"/>
                <w:sz w:val="18"/>
                <w:szCs w:val="18"/>
              </w:rPr>
              <w:t>12</w:t>
            </w:r>
          </w:p>
        </w:tc>
        <w:tc>
          <w:tcPr>
            <w:tcW w:w="3764" w:type="dxa"/>
            <w:tcBorders>
              <w:top w:val="single" w:color="000000" w:sz="4" w:space="0"/>
              <w:left w:val="nil"/>
              <w:bottom w:val="single" w:color="000000" w:sz="4" w:space="0"/>
              <w:right w:val="single" w:color="000000" w:sz="4" w:space="0"/>
            </w:tcBorders>
            <w:vAlign w:val="center"/>
          </w:tcPr>
          <w:p w14:paraId="5684D09B">
            <w:pPr>
              <w:widowControl/>
              <w:spacing w:line="312" w:lineRule="auto"/>
              <w:jc w:val="center"/>
              <w:rPr>
                <w:rFonts w:ascii="Times New Roman" w:hAnsi="Times New Roman"/>
                <w:kern w:val="0"/>
                <w:sz w:val="18"/>
                <w:szCs w:val="18"/>
              </w:rPr>
            </w:pPr>
            <w:r>
              <w:rPr>
                <w:rFonts w:ascii="Times New Roman" w:hAnsi="Times New Roman"/>
                <w:sz w:val="18"/>
                <w:szCs w:val="18"/>
              </w:rPr>
              <w:t>漂移</w:t>
            </w:r>
          </w:p>
        </w:tc>
        <w:tc>
          <w:tcPr>
            <w:tcW w:w="1989" w:type="dxa"/>
            <w:tcBorders>
              <w:top w:val="single" w:color="000000" w:sz="4" w:space="0"/>
              <w:left w:val="nil"/>
              <w:bottom w:val="single" w:color="000000" w:sz="4" w:space="0"/>
              <w:right w:val="single" w:color="000000" w:sz="4" w:space="0"/>
            </w:tcBorders>
            <w:vAlign w:val="center"/>
          </w:tcPr>
          <w:p w14:paraId="4043A68C">
            <w:pPr>
              <w:widowControl/>
              <w:spacing w:line="312" w:lineRule="auto"/>
              <w:ind w:firstLine="360"/>
              <w:jc w:val="center"/>
              <w:rPr>
                <w:rFonts w:ascii="Times New Roman" w:hAnsi="Times New Roman"/>
                <w:kern w:val="0"/>
                <w:sz w:val="18"/>
                <w:szCs w:val="18"/>
              </w:rPr>
            </w:pPr>
            <w:r>
              <w:rPr>
                <w:rFonts w:ascii="Times New Roman" w:hAnsi="Times New Roman"/>
                <w:kern w:val="0"/>
                <w:sz w:val="18"/>
                <w:szCs w:val="18"/>
              </w:rPr>
              <w:t>4.6.5</w:t>
            </w:r>
          </w:p>
        </w:tc>
        <w:tc>
          <w:tcPr>
            <w:tcW w:w="1878" w:type="dxa"/>
            <w:tcBorders>
              <w:top w:val="single" w:color="000000" w:sz="4" w:space="0"/>
              <w:left w:val="nil"/>
              <w:bottom w:val="single" w:color="000000" w:sz="4" w:space="0"/>
              <w:right w:val="single" w:color="000000" w:sz="8" w:space="0"/>
            </w:tcBorders>
            <w:vAlign w:val="center"/>
          </w:tcPr>
          <w:p w14:paraId="7E591356">
            <w:pPr>
              <w:widowControl/>
              <w:spacing w:line="312" w:lineRule="auto"/>
              <w:ind w:firstLine="360"/>
              <w:jc w:val="center"/>
              <w:rPr>
                <w:rFonts w:ascii="Times New Roman" w:hAnsi="Times New Roman"/>
                <w:kern w:val="0"/>
                <w:sz w:val="18"/>
                <w:szCs w:val="18"/>
              </w:rPr>
            </w:pPr>
            <w:r>
              <w:rPr>
                <w:rFonts w:ascii="Times New Roman" w:hAnsi="Times New Roman"/>
                <w:kern w:val="0"/>
                <w:sz w:val="18"/>
                <w:szCs w:val="18"/>
              </w:rPr>
              <w:t>5.6.6</w:t>
            </w:r>
          </w:p>
        </w:tc>
      </w:tr>
    </w:tbl>
    <w:p w14:paraId="6C9926E7">
      <w:pPr>
        <w:pStyle w:val="236"/>
        <w:numPr>
          <w:ilvl w:val="0"/>
          <w:numId w:val="0"/>
        </w:numPr>
        <w:ind w:left="360" w:hanging="360"/>
        <w:rPr>
          <w:rFonts w:hint="eastAsia" w:ascii="黑体" w:hAnsi="黑体" w:eastAsia="黑体" w:cs="黑体"/>
        </w:rPr>
      </w:pPr>
      <w:bookmarkStart w:id="84" w:name="_Toc413338309"/>
      <w:bookmarkEnd w:id="84"/>
      <w:r>
        <w:rPr>
          <w:rFonts w:hint="eastAsia" w:ascii="黑体" w:hAnsi="黑体" w:eastAsia="黑体" w:cs="黑体"/>
        </w:rPr>
        <w:t>6.3型式检验</w:t>
      </w:r>
    </w:p>
    <w:p w14:paraId="4A766766">
      <w:pPr>
        <w:pStyle w:val="246"/>
        <w:numPr>
          <w:ilvl w:val="0"/>
          <w:numId w:val="0"/>
        </w:numPr>
        <w:rPr>
          <w:rFonts w:ascii="Times New Roman" w:hAnsi="Times New Roman"/>
        </w:rPr>
      </w:pPr>
      <w:r>
        <w:rPr>
          <w:rFonts w:hint="eastAsia" w:ascii="黑体" w:hAnsi="黑体" w:eastAsia="黑体" w:cs="黑体"/>
        </w:rPr>
        <w:t>6.3.1</w:t>
      </w:r>
      <w:r>
        <w:rPr>
          <w:rFonts w:ascii="Times New Roman" w:hAnsi="Times New Roman"/>
        </w:rPr>
        <w:t>有下列情况之一应按表3 检验项目进行型式检验：</w:t>
      </w:r>
    </w:p>
    <w:p w14:paraId="3B699B15">
      <w:pPr>
        <w:widowControl/>
        <w:numPr>
          <w:ilvl w:val="0"/>
          <w:numId w:val="39"/>
        </w:numPr>
        <w:adjustRightInd/>
        <w:spacing w:line="312" w:lineRule="auto"/>
        <w:ind w:left="0" w:firstLine="420"/>
        <w:rPr>
          <w:rFonts w:ascii="Times New Roman" w:hAnsi="Times New Roman"/>
          <w:kern w:val="0"/>
        </w:rPr>
      </w:pPr>
      <w:r>
        <w:rPr>
          <w:rFonts w:ascii="Times New Roman" w:hAnsi="Times New Roman"/>
          <w:kern w:val="0"/>
        </w:rPr>
        <w:t>老产品转厂生产和新产品试制定型鉴定；</w:t>
      </w:r>
    </w:p>
    <w:p w14:paraId="5D6F451A">
      <w:pPr>
        <w:widowControl/>
        <w:numPr>
          <w:ilvl w:val="0"/>
          <w:numId w:val="39"/>
        </w:numPr>
        <w:adjustRightInd/>
        <w:spacing w:line="312" w:lineRule="auto"/>
        <w:ind w:left="0" w:firstLine="420"/>
        <w:rPr>
          <w:rFonts w:ascii="Times New Roman" w:hAnsi="Times New Roman"/>
          <w:kern w:val="0"/>
        </w:rPr>
      </w:pPr>
      <w:r>
        <w:rPr>
          <w:rFonts w:ascii="Times New Roman" w:hAnsi="Times New Roman"/>
          <w:kern w:val="0"/>
        </w:rPr>
        <w:t>正式生产后，如结构、原理、工艺或主要原材料有较大改变，可能影响产品性能时；</w:t>
      </w:r>
    </w:p>
    <w:p w14:paraId="10BAD36F">
      <w:pPr>
        <w:widowControl/>
        <w:numPr>
          <w:ilvl w:val="0"/>
          <w:numId w:val="39"/>
        </w:numPr>
        <w:adjustRightInd/>
        <w:spacing w:line="312" w:lineRule="auto"/>
        <w:ind w:left="0" w:firstLine="420"/>
        <w:rPr>
          <w:rFonts w:ascii="Times New Roman" w:hAnsi="Times New Roman"/>
          <w:kern w:val="0"/>
        </w:rPr>
      </w:pPr>
      <w:r>
        <w:rPr>
          <w:rFonts w:ascii="Times New Roman" w:hAnsi="Times New Roman"/>
          <w:kern w:val="0"/>
        </w:rPr>
        <w:t>正常生产时，应每三年为周期进行一次检验；</w:t>
      </w:r>
    </w:p>
    <w:p w14:paraId="6A4E0CC2">
      <w:pPr>
        <w:widowControl/>
        <w:numPr>
          <w:ilvl w:val="0"/>
          <w:numId w:val="39"/>
        </w:numPr>
        <w:adjustRightInd/>
        <w:spacing w:line="312" w:lineRule="auto"/>
        <w:ind w:left="0" w:firstLine="420"/>
        <w:rPr>
          <w:rFonts w:ascii="Times New Roman" w:hAnsi="Times New Roman"/>
          <w:kern w:val="0"/>
        </w:rPr>
      </w:pPr>
      <w:r>
        <w:rPr>
          <w:rFonts w:ascii="Times New Roman" w:hAnsi="Times New Roman"/>
          <w:kern w:val="0"/>
        </w:rPr>
        <w:t>产品长期停产，恢复生产时；</w:t>
      </w:r>
    </w:p>
    <w:p w14:paraId="4F4C5A99">
      <w:pPr>
        <w:widowControl/>
        <w:numPr>
          <w:ilvl w:val="0"/>
          <w:numId w:val="39"/>
        </w:numPr>
        <w:adjustRightInd/>
        <w:spacing w:line="312" w:lineRule="auto"/>
        <w:ind w:left="0" w:firstLine="420"/>
        <w:rPr>
          <w:rFonts w:ascii="Times New Roman" w:hAnsi="Times New Roman"/>
          <w:kern w:val="0"/>
        </w:rPr>
      </w:pPr>
      <w:r>
        <w:rPr>
          <w:rFonts w:ascii="Times New Roman" w:hAnsi="Times New Roman"/>
          <w:kern w:val="0"/>
        </w:rPr>
        <w:t>出厂检验结果与上次型式检验有较大差异时；</w:t>
      </w:r>
    </w:p>
    <w:p w14:paraId="3F3C7D8B">
      <w:pPr>
        <w:pStyle w:val="246"/>
        <w:numPr>
          <w:ilvl w:val="0"/>
          <w:numId w:val="0"/>
        </w:numPr>
        <w:rPr>
          <w:rFonts w:ascii="Times New Roman" w:hAnsi="Times New Roman"/>
        </w:rPr>
      </w:pPr>
      <w:r>
        <w:rPr>
          <w:rFonts w:hint="eastAsia" w:ascii="黑体" w:hAnsi="黑体" w:eastAsia="黑体" w:cs="黑体"/>
        </w:rPr>
        <w:t>6.3.2</w:t>
      </w:r>
      <w:r>
        <w:rPr>
          <w:rFonts w:ascii="Times New Roman" w:hAnsi="Times New Roman"/>
        </w:rPr>
        <w:t>型式检验的样品应从出厂检验合格的批次中随机抽取，检验的样品一般不少于三台。</w:t>
      </w:r>
    </w:p>
    <w:p w14:paraId="0EA90ECC">
      <w:pPr>
        <w:pStyle w:val="246"/>
        <w:numPr>
          <w:ilvl w:val="0"/>
          <w:numId w:val="0"/>
        </w:numPr>
        <w:rPr>
          <w:rFonts w:ascii="Times New Roman" w:hAnsi="Times New Roman"/>
        </w:rPr>
      </w:pPr>
      <w:r>
        <w:rPr>
          <w:rFonts w:hint="eastAsia" w:ascii="黑体" w:hAnsi="黑体" w:eastAsia="黑体" w:cs="黑体"/>
        </w:rPr>
        <w:t>6.3.3</w:t>
      </w:r>
      <w:r>
        <w:rPr>
          <w:rFonts w:ascii="Times New Roman" w:hAnsi="Times New Roman"/>
        </w:rPr>
        <w:t>型式检验应按 GB/T 2829—2002 的规定进行，采取一次抽样方案。仪器的检验项目、不合格分类、不合格质量水平（RQL）、判别水平（DL）按表3 规定进行。批质量以每百单位仪器不合格数表示。</w:t>
      </w:r>
    </w:p>
    <w:p w14:paraId="4156DC69">
      <w:pPr>
        <w:widowControl/>
        <w:numPr>
          <w:ilvl w:val="0"/>
          <w:numId w:val="38"/>
        </w:numPr>
        <w:adjustRightInd/>
        <w:spacing w:before="120" w:beforeLines="50" w:after="120" w:afterLines="50" w:line="312" w:lineRule="auto"/>
        <w:ind w:firstLine="420"/>
        <w:jc w:val="center"/>
        <w:rPr>
          <w:rFonts w:hint="eastAsia" w:ascii="黑体" w:hAnsi="黑体" w:eastAsia="黑体" w:cs="黑体"/>
        </w:rPr>
      </w:pPr>
      <w:r>
        <w:rPr>
          <w:rFonts w:hint="eastAsia" w:ascii="黑体" w:hAnsi="黑体" w:eastAsia="黑体" w:cs="黑体"/>
          <w:kern w:val="0"/>
        </w:rPr>
        <w:t>型式检验</w:t>
      </w:r>
    </w:p>
    <w:tbl>
      <w:tblPr>
        <w:tblStyle w:val="29"/>
        <w:tblW w:w="95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838"/>
        <w:gridCol w:w="2204"/>
        <w:gridCol w:w="985"/>
        <w:gridCol w:w="985"/>
        <w:gridCol w:w="986"/>
        <w:gridCol w:w="986"/>
        <w:gridCol w:w="986"/>
        <w:gridCol w:w="986"/>
      </w:tblGrid>
      <w:tr w14:paraId="0210A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jc w:val="center"/>
        </w:trPr>
        <w:tc>
          <w:tcPr>
            <w:tcW w:w="570" w:type="dxa"/>
            <w:vMerge w:val="restart"/>
            <w:vAlign w:val="center"/>
          </w:tcPr>
          <w:p w14:paraId="3C527EB0">
            <w:pPr>
              <w:pStyle w:val="26"/>
              <w:widowControl/>
              <w:autoSpaceDE w:val="0"/>
              <w:autoSpaceDN w:val="0"/>
              <w:spacing w:line="312" w:lineRule="auto"/>
              <w:jc w:val="center"/>
              <w:rPr>
                <w:rFonts w:hint="eastAsia" w:ascii="黑体" w:hAnsi="黑体" w:eastAsia="黑体" w:cs="黑体"/>
                <w:sz w:val="18"/>
                <w:szCs w:val="18"/>
              </w:rPr>
            </w:pPr>
            <w:r>
              <w:rPr>
                <w:rFonts w:hint="eastAsia" w:ascii="黑体" w:hAnsi="黑体" w:eastAsia="黑体" w:cs="黑体"/>
                <w:kern w:val="0"/>
                <w:sz w:val="18"/>
                <w:szCs w:val="18"/>
              </w:rPr>
              <w:t>序号</w:t>
            </w:r>
          </w:p>
        </w:tc>
        <w:tc>
          <w:tcPr>
            <w:tcW w:w="838" w:type="dxa"/>
            <w:vMerge w:val="restart"/>
            <w:vAlign w:val="center"/>
          </w:tcPr>
          <w:p w14:paraId="43D2F7E9">
            <w:pPr>
              <w:pStyle w:val="26"/>
              <w:widowControl/>
              <w:autoSpaceDE w:val="0"/>
              <w:autoSpaceDN w:val="0"/>
              <w:spacing w:line="312" w:lineRule="auto"/>
              <w:jc w:val="center"/>
              <w:rPr>
                <w:rFonts w:hint="eastAsia" w:ascii="黑体" w:hAnsi="黑体" w:eastAsia="黑体" w:cs="黑体"/>
                <w:sz w:val="18"/>
                <w:szCs w:val="18"/>
              </w:rPr>
            </w:pPr>
            <w:r>
              <w:rPr>
                <w:rFonts w:hint="eastAsia" w:ascii="黑体" w:hAnsi="黑体" w:eastAsia="黑体" w:cs="黑体"/>
                <w:kern w:val="0"/>
                <w:sz w:val="18"/>
                <w:szCs w:val="18"/>
              </w:rPr>
              <w:t>不合格</w:t>
            </w:r>
          </w:p>
          <w:p w14:paraId="0F7D748C">
            <w:pPr>
              <w:pStyle w:val="26"/>
              <w:widowControl/>
              <w:autoSpaceDE w:val="0"/>
              <w:autoSpaceDN w:val="0"/>
              <w:spacing w:line="312" w:lineRule="auto"/>
              <w:jc w:val="center"/>
              <w:rPr>
                <w:rFonts w:hint="eastAsia" w:ascii="黑体" w:hAnsi="黑体" w:eastAsia="黑体" w:cs="黑体"/>
                <w:sz w:val="18"/>
                <w:szCs w:val="18"/>
              </w:rPr>
            </w:pPr>
            <w:r>
              <w:rPr>
                <w:rFonts w:hint="eastAsia" w:ascii="黑体" w:hAnsi="黑体" w:eastAsia="黑体" w:cs="黑体"/>
                <w:kern w:val="0"/>
                <w:sz w:val="18"/>
                <w:szCs w:val="18"/>
              </w:rPr>
              <w:t>分类</w:t>
            </w:r>
          </w:p>
        </w:tc>
        <w:tc>
          <w:tcPr>
            <w:tcW w:w="4174" w:type="dxa"/>
            <w:gridSpan w:val="3"/>
            <w:vAlign w:val="center"/>
          </w:tcPr>
          <w:p w14:paraId="5AECDC99">
            <w:pPr>
              <w:pStyle w:val="26"/>
              <w:widowControl/>
              <w:autoSpaceDE w:val="0"/>
              <w:autoSpaceDN w:val="0"/>
              <w:spacing w:line="312" w:lineRule="auto"/>
              <w:ind w:firstLine="360"/>
              <w:jc w:val="center"/>
              <w:rPr>
                <w:rFonts w:hint="eastAsia" w:ascii="黑体" w:hAnsi="黑体" w:eastAsia="黑体" w:cs="黑体"/>
                <w:sz w:val="18"/>
                <w:szCs w:val="18"/>
              </w:rPr>
            </w:pPr>
            <w:r>
              <w:rPr>
                <w:rFonts w:hint="eastAsia" w:ascii="黑体" w:hAnsi="黑体" w:eastAsia="黑体" w:cs="黑体"/>
                <w:kern w:val="0"/>
                <w:sz w:val="18"/>
                <w:szCs w:val="18"/>
              </w:rPr>
              <w:t>检验项目及章条</w:t>
            </w:r>
          </w:p>
        </w:tc>
        <w:tc>
          <w:tcPr>
            <w:tcW w:w="986" w:type="dxa"/>
            <w:vMerge w:val="restart"/>
            <w:vAlign w:val="center"/>
          </w:tcPr>
          <w:p w14:paraId="4BD7CD32">
            <w:pPr>
              <w:pStyle w:val="26"/>
              <w:widowControl/>
              <w:autoSpaceDE w:val="0"/>
              <w:autoSpaceDN w:val="0"/>
              <w:spacing w:line="312" w:lineRule="auto"/>
              <w:jc w:val="center"/>
              <w:rPr>
                <w:rFonts w:hint="eastAsia" w:ascii="黑体" w:hAnsi="黑体" w:eastAsia="黑体" w:cs="黑体"/>
                <w:sz w:val="18"/>
                <w:szCs w:val="18"/>
              </w:rPr>
            </w:pPr>
            <w:r>
              <w:rPr>
                <w:rFonts w:hint="eastAsia" w:ascii="黑体" w:hAnsi="黑体" w:eastAsia="黑体" w:cs="黑体"/>
                <w:kern w:val="0"/>
                <w:sz w:val="18"/>
                <w:szCs w:val="18"/>
              </w:rPr>
              <w:t>不合格</w:t>
            </w:r>
          </w:p>
          <w:p w14:paraId="30E7DB6B">
            <w:pPr>
              <w:pStyle w:val="26"/>
              <w:widowControl/>
              <w:autoSpaceDE w:val="0"/>
              <w:autoSpaceDN w:val="0"/>
              <w:spacing w:line="312" w:lineRule="auto"/>
              <w:jc w:val="center"/>
              <w:rPr>
                <w:rFonts w:hint="eastAsia" w:ascii="黑体" w:hAnsi="黑体" w:eastAsia="黑体" w:cs="黑体"/>
                <w:sz w:val="18"/>
                <w:szCs w:val="18"/>
              </w:rPr>
            </w:pPr>
            <w:r>
              <w:rPr>
                <w:rFonts w:hint="eastAsia" w:ascii="黑体" w:hAnsi="黑体" w:eastAsia="黑体" w:cs="黑体"/>
                <w:kern w:val="0"/>
                <w:sz w:val="18"/>
                <w:szCs w:val="18"/>
              </w:rPr>
              <w:t>质量水平</w:t>
            </w:r>
          </w:p>
          <w:p w14:paraId="49D9730F">
            <w:pPr>
              <w:pStyle w:val="26"/>
              <w:widowControl/>
              <w:autoSpaceDE w:val="0"/>
              <w:autoSpaceDN w:val="0"/>
              <w:spacing w:line="312" w:lineRule="auto"/>
              <w:jc w:val="center"/>
              <w:rPr>
                <w:rFonts w:hint="eastAsia" w:ascii="黑体" w:hAnsi="黑体" w:eastAsia="黑体" w:cs="黑体"/>
                <w:sz w:val="18"/>
                <w:szCs w:val="18"/>
              </w:rPr>
            </w:pPr>
            <w:r>
              <w:rPr>
                <w:rFonts w:hint="eastAsia" w:ascii="黑体" w:hAnsi="黑体" w:eastAsia="黑体" w:cs="黑体"/>
                <w:kern w:val="0"/>
                <w:sz w:val="18"/>
                <w:szCs w:val="18"/>
              </w:rPr>
              <w:t>（RQL）</w:t>
            </w:r>
          </w:p>
        </w:tc>
        <w:tc>
          <w:tcPr>
            <w:tcW w:w="986" w:type="dxa"/>
            <w:vMerge w:val="restart"/>
            <w:vAlign w:val="center"/>
          </w:tcPr>
          <w:p w14:paraId="361FE276">
            <w:pPr>
              <w:pStyle w:val="26"/>
              <w:widowControl/>
              <w:autoSpaceDE w:val="0"/>
              <w:autoSpaceDN w:val="0"/>
              <w:spacing w:line="312" w:lineRule="auto"/>
              <w:jc w:val="center"/>
              <w:rPr>
                <w:rFonts w:hint="eastAsia" w:ascii="黑体" w:hAnsi="黑体" w:eastAsia="黑体" w:cs="黑体"/>
                <w:sz w:val="18"/>
                <w:szCs w:val="18"/>
              </w:rPr>
            </w:pPr>
            <w:r>
              <w:rPr>
                <w:rFonts w:hint="eastAsia" w:ascii="黑体" w:hAnsi="黑体" w:eastAsia="黑体" w:cs="黑体"/>
                <w:kern w:val="0"/>
                <w:sz w:val="18"/>
                <w:szCs w:val="18"/>
              </w:rPr>
              <w:t>判别</w:t>
            </w:r>
          </w:p>
          <w:p w14:paraId="003FA4CF">
            <w:pPr>
              <w:pStyle w:val="26"/>
              <w:widowControl/>
              <w:autoSpaceDE w:val="0"/>
              <w:autoSpaceDN w:val="0"/>
              <w:spacing w:line="312" w:lineRule="auto"/>
              <w:jc w:val="center"/>
              <w:rPr>
                <w:rFonts w:hint="eastAsia" w:ascii="黑体" w:hAnsi="黑体" w:eastAsia="黑体" w:cs="黑体"/>
                <w:sz w:val="18"/>
                <w:szCs w:val="18"/>
              </w:rPr>
            </w:pPr>
            <w:r>
              <w:rPr>
                <w:rFonts w:hint="eastAsia" w:ascii="黑体" w:hAnsi="黑体" w:eastAsia="黑体" w:cs="黑体"/>
                <w:kern w:val="0"/>
                <w:sz w:val="18"/>
                <w:szCs w:val="18"/>
              </w:rPr>
              <w:t>水平</w:t>
            </w:r>
          </w:p>
          <w:p w14:paraId="24A247CE">
            <w:pPr>
              <w:pStyle w:val="26"/>
              <w:widowControl/>
              <w:autoSpaceDE w:val="0"/>
              <w:autoSpaceDN w:val="0"/>
              <w:spacing w:line="312" w:lineRule="auto"/>
              <w:jc w:val="center"/>
              <w:rPr>
                <w:rFonts w:hint="eastAsia" w:ascii="黑体" w:hAnsi="黑体" w:eastAsia="黑体" w:cs="黑体"/>
                <w:sz w:val="18"/>
                <w:szCs w:val="18"/>
              </w:rPr>
            </w:pPr>
            <w:r>
              <w:rPr>
                <w:rFonts w:hint="eastAsia" w:ascii="黑体" w:hAnsi="黑体" w:eastAsia="黑体" w:cs="黑体"/>
                <w:kern w:val="0"/>
                <w:sz w:val="18"/>
                <w:szCs w:val="18"/>
              </w:rPr>
              <w:t>（DL）</w:t>
            </w:r>
          </w:p>
        </w:tc>
        <w:tc>
          <w:tcPr>
            <w:tcW w:w="1972" w:type="dxa"/>
            <w:gridSpan w:val="2"/>
            <w:vAlign w:val="center"/>
          </w:tcPr>
          <w:p w14:paraId="00A982EE">
            <w:pPr>
              <w:pStyle w:val="26"/>
              <w:widowControl/>
              <w:autoSpaceDE w:val="0"/>
              <w:autoSpaceDN w:val="0"/>
              <w:spacing w:line="312" w:lineRule="auto"/>
              <w:ind w:firstLine="360"/>
              <w:jc w:val="center"/>
              <w:rPr>
                <w:rFonts w:hint="eastAsia" w:ascii="黑体" w:hAnsi="黑体" w:eastAsia="黑体" w:cs="黑体"/>
                <w:sz w:val="18"/>
                <w:szCs w:val="18"/>
              </w:rPr>
            </w:pPr>
            <w:r>
              <w:rPr>
                <w:rFonts w:hint="eastAsia" w:ascii="黑体" w:hAnsi="黑体" w:eastAsia="黑体" w:cs="黑体"/>
                <w:kern w:val="0"/>
                <w:sz w:val="18"/>
                <w:szCs w:val="18"/>
              </w:rPr>
              <w:t>抽样方案</w:t>
            </w:r>
          </w:p>
        </w:tc>
      </w:tr>
      <w:tr w14:paraId="06A16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6" w:hRule="atLeast"/>
          <w:jc w:val="center"/>
        </w:trPr>
        <w:tc>
          <w:tcPr>
            <w:tcW w:w="570" w:type="dxa"/>
            <w:vMerge w:val="continue"/>
            <w:vAlign w:val="center"/>
          </w:tcPr>
          <w:p w14:paraId="539E6CF8">
            <w:pPr>
              <w:widowControl/>
              <w:spacing w:line="312" w:lineRule="auto"/>
              <w:ind w:firstLine="360"/>
              <w:jc w:val="center"/>
              <w:rPr>
                <w:rFonts w:hint="eastAsia" w:ascii="黑体" w:hAnsi="黑体" w:eastAsia="黑体" w:cs="黑体"/>
                <w:sz w:val="18"/>
                <w:szCs w:val="18"/>
              </w:rPr>
            </w:pPr>
          </w:p>
        </w:tc>
        <w:tc>
          <w:tcPr>
            <w:tcW w:w="838" w:type="dxa"/>
            <w:vMerge w:val="continue"/>
            <w:vAlign w:val="center"/>
          </w:tcPr>
          <w:p w14:paraId="7FC74A74">
            <w:pPr>
              <w:widowControl/>
              <w:spacing w:line="312" w:lineRule="auto"/>
              <w:ind w:firstLine="360"/>
              <w:jc w:val="center"/>
              <w:rPr>
                <w:rFonts w:hint="eastAsia" w:ascii="黑体" w:hAnsi="黑体" w:eastAsia="黑体" w:cs="黑体"/>
                <w:sz w:val="18"/>
                <w:szCs w:val="18"/>
              </w:rPr>
            </w:pPr>
          </w:p>
        </w:tc>
        <w:tc>
          <w:tcPr>
            <w:tcW w:w="2204" w:type="dxa"/>
            <w:vAlign w:val="center"/>
          </w:tcPr>
          <w:p w14:paraId="1B804C5D">
            <w:pPr>
              <w:pStyle w:val="26"/>
              <w:widowControl/>
              <w:autoSpaceDE w:val="0"/>
              <w:autoSpaceDN w:val="0"/>
              <w:spacing w:line="312" w:lineRule="auto"/>
              <w:ind w:firstLine="360"/>
              <w:jc w:val="center"/>
              <w:rPr>
                <w:rFonts w:hint="eastAsia" w:ascii="黑体" w:hAnsi="黑体" w:eastAsia="黑体" w:cs="黑体"/>
                <w:sz w:val="18"/>
                <w:szCs w:val="18"/>
              </w:rPr>
            </w:pPr>
            <w:r>
              <w:rPr>
                <w:rFonts w:hint="eastAsia" w:ascii="黑体" w:hAnsi="黑体" w:eastAsia="黑体" w:cs="黑体"/>
                <w:kern w:val="0"/>
                <w:sz w:val="18"/>
                <w:szCs w:val="18"/>
              </w:rPr>
              <w:t>项目</w:t>
            </w:r>
          </w:p>
        </w:tc>
        <w:tc>
          <w:tcPr>
            <w:tcW w:w="985" w:type="dxa"/>
            <w:vAlign w:val="center"/>
          </w:tcPr>
          <w:p w14:paraId="23FE47F4">
            <w:pPr>
              <w:pStyle w:val="26"/>
              <w:widowControl/>
              <w:autoSpaceDE w:val="0"/>
              <w:autoSpaceDN w:val="0"/>
              <w:spacing w:line="312" w:lineRule="auto"/>
              <w:jc w:val="center"/>
              <w:rPr>
                <w:rFonts w:hint="eastAsia" w:ascii="黑体" w:hAnsi="黑体" w:eastAsia="黑体" w:cs="黑体"/>
                <w:sz w:val="18"/>
                <w:szCs w:val="18"/>
              </w:rPr>
            </w:pPr>
            <w:r>
              <w:rPr>
                <w:rFonts w:hint="eastAsia" w:ascii="黑体" w:hAnsi="黑体" w:eastAsia="黑体" w:cs="黑体"/>
                <w:kern w:val="0"/>
                <w:sz w:val="18"/>
                <w:szCs w:val="18"/>
              </w:rPr>
              <w:t>要求</w:t>
            </w:r>
          </w:p>
          <w:p w14:paraId="6D1B3002">
            <w:pPr>
              <w:pStyle w:val="26"/>
              <w:widowControl/>
              <w:autoSpaceDE w:val="0"/>
              <w:autoSpaceDN w:val="0"/>
              <w:spacing w:line="312" w:lineRule="auto"/>
              <w:jc w:val="center"/>
              <w:rPr>
                <w:rFonts w:hint="eastAsia" w:ascii="黑体" w:hAnsi="黑体" w:eastAsia="黑体" w:cs="黑体"/>
                <w:sz w:val="18"/>
                <w:szCs w:val="18"/>
              </w:rPr>
            </w:pPr>
            <w:r>
              <w:rPr>
                <w:rFonts w:hint="eastAsia" w:ascii="黑体" w:hAnsi="黑体" w:eastAsia="黑体" w:cs="黑体"/>
                <w:kern w:val="0"/>
                <w:sz w:val="18"/>
                <w:szCs w:val="18"/>
              </w:rPr>
              <w:t>章条</w:t>
            </w:r>
          </w:p>
        </w:tc>
        <w:tc>
          <w:tcPr>
            <w:tcW w:w="985" w:type="dxa"/>
            <w:vAlign w:val="center"/>
          </w:tcPr>
          <w:p w14:paraId="470DAACC">
            <w:pPr>
              <w:pStyle w:val="26"/>
              <w:widowControl/>
              <w:autoSpaceDE w:val="0"/>
              <w:autoSpaceDN w:val="0"/>
              <w:spacing w:line="312" w:lineRule="auto"/>
              <w:jc w:val="center"/>
              <w:rPr>
                <w:rFonts w:hint="eastAsia" w:ascii="黑体" w:hAnsi="黑体" w:eastAsia="黑体" w:cs="黑体"/>
                <w:sz w:val="18"/>
                <w:szCs w:val="18"/>
              </w:rPr>
            </w:pPr>
            <w:r>
              <w:rPr>
                <w:rFonts w:hint="eastAsia" w:ascii="黑体" w:hAnsi="黑体" w:eastAsia="黑体" w:cs="黑体"/>
                <w:kern w:val="0"/>
                <w:sz w:val="18"/>
                <w:szCs w:val="18"/>
              </w:rPr>
              <w:t>试验方法章条</w:t>
            </w:r>
          </w:p>
        </w:tc>
        <w:tc>
          <w:tcPr>
            <w:tcW w:w="986" w:type="dxa"/>
            <w:vMerge w:val="continue"/>
            <w:vAlign w:val="center"/>
          </w:tcPr>
          <w:p w14:paraId="725E2780">
            <w:pPr>
              <w:widowControl/>
              <w:spacing w:line="312" w:lineRule="auto"/>
              <w:ind w:firstLine="360"/>
              <w:jc w:val="center"/>
              <w:rPr>
                <w:rFonts w:hint="eastAsia" w:ascii="黑体" w:hAnsi="黑体" w:eastAsia="黑体" w:cs="黑体"/>
                <w:sz w:val="18"/>
                <w:szCs w:val="18"/>
              </w:rPr>
            </w:pPr>
          </w:p>
        </w:tc>
        <w:tc>
          <w:tcPr>
            <w:tcW w:w="986" w:type="dxa"/>
            <w:vMerge w:val="continue"/>
            <w:vAlign w:val="center"/>
          </w:tcPr>
          <w:p w14:paraId="211E6013">
            <w:pPr>
              <w:widowControl/>
              <w:spacing w:line="312" w:lineRule="auto"/>
              <w:ind w:firstLine="360"/>
              <w:jc w:val="center"/>
              <w:rPr>
                <w:rFonts w:hint="eastAsia" w:ascii="黑体" w:hAnsi="黑体" w:eastAsia="黑体" w:cs="黑体"/>
                <w:sz w:val="18"/>
                <w:szCs w:val="18"/>
              </w:rPr>
            </w:pPr>
          </w:p>
        </w:tc>
        <w:tc>
          <w:tcPr>
            <w:tcW w:w="986" w:type="dxa"/>
            <w:vAlign w:val="center"/>
          </w:tcPr>
          <w:p w14:paraId="25587512">
            <w:pPr>
              <w:pStyle w:val="26"/>
              <w:widowControl/>
              <w:autoSpaceDE w:val="0"/>
              <w:autoSpaceDN w:val="0"/>
              <w:spacing w:line="312" w:lineRule="auto"/>
              <w:jc w:val="center"/>
              <w:rPr>
                <w:rFonts w:hint="eastAsia" w:ascii="黑体" w:hAnsi="黑体" w:eastAsia="黑体" w:cs="黑体"/>
                <w:sz w:val="18"/>
                <w:szCs w:val="18"/>
              </w:rPr>
            </w:pPr>
            <w:r>
              <w:rPr>
                <w:rFonts w:hint="eastAsia" w:ascii="黑体" w:hAnsi="黑体" w:eastAsia="黑体" w:cs="黑体"/>
                <w:kern w:val="0"/>
                <w:sz w:val="18"/>
                <w:szCs w:val="18"/>
              </w:rPr>
              <w:t>样品量</w:t>
            </w:r>
          </w:p>
          <w:p w14:paraId="4D9007E8">
            <w:pPr>
              <w:pStyle w:val="26"/>
              <w:widowControl/>
              <w:autoSpaceDE w:val="0"/>
              <w:autoSpaceDN w:val="0"/>
              <w:spacing w:line="312" w:lineRule="auto"/>
              <w:jc w:val="center"/>
              <w:rPr>
                <w:rFonts w:hint="eastAsia" w:ascii="黑体" w:hAnsi="黑体" w:eastAsia="黑体" w:cs="黑体"/>
                <w:sz w:val="18"/>
                <w:szCs w:val="18"/>
              </w:rPr>
            </w:pPr>
            <w:r>
              <w:rPr>
                <w:rFonts w:hint="eastAsia" w:ascii="黑体" w:hAnsi="黑体" w:eastAsia="黑体" w:cs="黑体"/>
                <w:kern w:val="0"/>
                <w:sz w:val="18"/>
                <w:szCs w:val="18"/>
              </w:rPr>
              <w:t>（n）</w:t>
            </w:r>
          </w:p>
        </w:tc>
        <w:tc>
          <w:tcPr>
            <w:tcW w:w="986" w:type="dxa"/>
            <w:vAlign w:val="center"/>
          </w:tcPr>
          <w:p w14:paraId="298C3D5A">
            <w:pPr>
              <w:pStyle w:val="26"/>
              <w:widowControl/>
              <w:autoSpaceDE w:val="0"/>
              <w:autoSpaceDN w:val="0"/>
              <w:spacing w:line="312" w:lineRule="auto"/>
              <w:jc w:val="center"/>
              <w:rPr>
                <w:rFonts w:hint="eastAsia" w:ascii="黑体" w:hAnsi="黑体" w:eastAsia="黑体" w:cs="黑体"/>
                <w:sz w:val="18"/>
                <w:szCs w:val="18"/>
              </w:rPr>
            </w:pPr>
            <w:r>
              <w:rPr>
                <w:rFonts w:hint="eastAsia" w:ascii="黑体" w:hAnsi="黑体" w:eastAsia="黑体" w:cs="黑体"/>
                <w:kern w:val="0"/>
                <w:sz w:val="18"/>
                <w:szCs w:val="18"/>
              </w:rPr>
              <w:t>判定数组</w:t>
            </w:r>
          </w:p>
          <w:p w14:paraId="041A7905">
            <w:pPr>
              <w:pStyle w:val="26"/>
              <w:widowControl/>
              <w:autoSpaceDE w:val="0"/>
              <w:autoSpaceDN w:val="0"/>
              <w:spacing w:line="312" w:lineRule="auto"/>
              <w:jc w:val="center"/>
              <w:rPr>
                <w:rFonts w:hint="eastAsia" w:ascii="黑体" w:hAnsi="黑体" w:eastAsia="黑体" w:cs="黑体"/>
                <w:sz w:val="18"/>
                <w:szCs w:val="18"/>
              </w:rPr>
            </w:pPr>
            <w:r>
              <w:rPr>
                <w:rFonts w:hint="eastAsia" w:ascii="黑体" w:hAnsi="黑体" w:eastAsia="黑体" w:cs="黑体"/>
                <w:kern w:val="0"/>
                <w:sz w:val="18"/>
                <w:szCs w:val="18"/>
              </w:rPr>
              <w:t>（A</w:t>
            </w:r>
            <w:r>
              <w:rPr>
                <w:rFonts w:hint="eastAsia" w:ascii="黑体" w:hAnsi="黑体" w:eastAsia="黑体" w:cs="黑体"/>
                <w:kern w:val="0"/>
                <w:sz w:val="18"/>
                <w:szCs w:val="18"/>
                <w:vertAlign w:val="subscript"/>
              </w:rPr>
              <w:t>c</w:t>
            </w:r>
            <w:r>
              <w:rPr>
                <w:rFonts w:hint="eastAsia" w:ascii="黑体" w:hAnsi="黑体" w:eastAsia="黑体" w:cs="黑体"/>
                <w:kern w:val="0"/>
                <w:sz w:val="18"/>
                <w:szCs w:val="18"/>
              </w:rPr>
              <w:t>,R</w:t>
            </w:r>
            <w:r>
              <w:rPr>
                <w:rFonts w:hint="eastAsia" w:ascii="黑体" w:hAnsi="黑体" w:eastAsia="黑体" w:cs="黑体"/>
                <w:kern w:val="0"/>
                <w:sz w:val="18"/>
                <w:szCs w:val="18"/>
                <w:vertAlign w:val="subscript"/>
              </w:rPr>
              <w:t>e</w:t>
            </w:r>
            <w:r>
              <w:rPr>
                <w:rFonts w:hint="eastAsia" w:ascii="黑体" w:hAnsi="黑体" w:eastAsia="黑体" w:cs="黑体"/>
                <w:kern w:val="0"/>
                <w:sz w:val="18"/>
                <w:szCs w:val="18"/>
              </w:rPr>
              <w:t>）</w:t>
            </w:r>
          </w:p>
        </w:tc>
      </w:tr>
      <w:tr w14:paraId="6C73F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 w:hRule="atLeast"/>
          <w:jc w:val="center"/>
        </w:trPr>
        <w:tc>
          <w:tcPr>
            <w:tcW w:w="570" w:type="dxa"/>
            <w:vAlign w:val="center"/>
          </w:tcPr>
          <w:p w14:paraId="7913D7F3">
            <w:pPr>
              <w:pStyle w:val="26"/>
              <w:widowControl/>
              <w:autoSpaceDE w:val="0"/>
              <w:autoSpaceDN w:val="0"/>
              <w:spacing w:line="312" w:lineRule="auto"/>
              <w:jc w:val="center"/>
              <w:rPr>
                <w:sz w:val="18"/>
                <w:szCs w:val="18"/>
              </w:rPr>
            </w:pPr>
            <w:r>
              <w:rPr>
                <w:kern w:val="0"/>
                <w:sz w:val="18"/>
                <w:szCs w:val="18"/>
              </w:rPr>
              <w:t>1</w:t>
            </w:r>
          </w:p>
        </w:tc>
        <w:tc>
          <w:tcPr>
            <w:tcW w:w="838" w:type="dxa"/>
            <w:vMerge w:val="restart"/>
            <w:vAlign w:val="center"/>
          </w:tcPr>
          <w:p w14:paraId="09507FA4">
            <w:pPr>
              <w:pStyle w:val="26"/>
              <w:widowControl/>
              <w:autoSpaceDE w:val="0"/>
              <w:autoSpaceDN w:val="0"/>
              <w:spacing w:line="312" w:lineRule="auto"/>
              <w:jc w:val="center"/>
              <w:rPr>
                <w:sz w:val="18"/>
                <w:szCs w:val="18"/>
              </w:rPr>
            </w:pPr>
            <w:r>
              <w:rPr>
                <w:kern w:val="0"/>
                <w:sz w:val="18"/>
                <w:szCs w:val="18"/>
              </w:rPr>
              <w:t>A</w:t>
            </w:r>
          </w:p>
        </w:tc>
        <w:tc>
          <w:tcPr>
            <w:tcW w:w="2204" w:type="dxa"/>
            <w:vAlign w:val="center"/>
          </w:tcPr>
          <w:p w14:paraId="703D5B84">
            <w:pPr>
              <w:widowControl/>
              <w:spacing w:line="312" w:lineRule="auto"/>
              <w:jc w:val="center"/>
              <w:rPr>
                <w:rFonts w:ascii="Times New Roman" w:hAnsi="Times New Roman"/>
                <w:kern w:val="0"/>
                <w:sz w:val="18"/>
                <w:szCs w:val="18"/>
              </w:rPr>
            </w:pPr>
            <w:r>
              <w:rPr>
                <w:rFonts w:ascii="Times New Roman" w:hAnsi="Times New Roman"/>
                <w:sz w:val="18"/>
                <w:szCs w:val="18"/>
              </w:rPr>
              <w:t>绝缘电阻</w:t>
            </w:r>
          </w:p>
        </w:tc>
        <w:tc>
          <w:tcPr>
            <w:tcW w:w="985" w:type="dxa"/>
            <w:vAlign w:val="center"/>
          </w:tcPr>
          <w:p w14:paraId="7CECC5D8">
            <w:pPr>
              <w:widowControl/>
              <w:spacing w:line="312" w:lineRule="auto"/>
              <w:jc w:val="center"/>
              <w:rPr>
                <w:rFonts w:ascii="Times New Roman" w:hAnsi="Times New Roman"/>
                <w:sz w:val="18"/>
                <w:szCs w:val="18"/>
              </w:rPr>
            </w:pPr>
            <w:r>
              <w:rPr>
                <w:rFonts w:ascii="Times New Roman" w:hAnsi="Times New Roman"/>
                <w:kern w:val="0"/>
                <w:sz w:val="18"/>
                <w:szCs w:val="18"/>
              </w:rPr>
              <w:t>4.3.1</w:t>
            </w:r>
          </w:p>
        </w:tc>
        <w:tc>
          <w:tcPr>
            <w:tcW w:w="985" w:type="dxa"/>
            <w:vAlign w:val="center"/>
          </w:tcPr>
          <w:p w14:paraId="226EE914">
            <w:pPr>
              <w:widowControl/>
              <w:spacing w:line="312" w:lineRule="auto"/>
              <w:jc w:val="center"/>
              <w:rPr>
                <w:rFonts w:ascii="Times New Roman" w:hAnsi="Times New Roman"/>
                <w:sz w:val="18"/>
                <w:szCs w:val="18"/>
              </w:rPr>
            </w:pPr>
            <w:r>
              <w:rPr>
                <w:rFonts w:ascii="Times New Roman" w:hAnsi="Times New Roman"/>
                <w:kern w:val="0"/>
                <w:sz w:val="18"/>
                <w:szCs w:val="18"/>
              </w:rPr>
              <w:t>5.3.1</w:t>
            </w:r>
          </w:p>
        </w:tc>
        <w:tc>
          <w:tcPr>
            <w:tcW w:w="986" w:type="dxa"/>
            <w:vMerge w:val="restart"/>
            <w:vAlign w:val="center"/>
          </w:tcPr>
          <w:p w14:paraId="13F0769D">
            <w:pPr>
              <w:pStyle w:val="26"/>
              <w:widowControl/>
              <w:autoSpaceDE w:val="0"/>
              <w:autoSpaceDN w:val="0"/>
              <w:spacing w:line="312" w:lineRule="auto"/>
              <w:jc w:val="center"/>
              <w:rPr>
                <w:sz w:val="18"/>
                <w:szCs w:val="18"/>
              </w:rPr>
            </w:pPr>
            <w:r>
              <w:rPr>
                <w:kern w:val="0"/>
                <w:sz w:val="18"/>
                <w:szCs w:val="18"/>
              </w:rPr>
              <w:t>30</w:t>
            </w:r>
          </w:p>
        </w:tc>
        <w:tc>
          <w:tcPr>
            <w:tcW w:w="986" w:type="dxa"/>
            <w:vMerge w:val="restart"/>
            <w:vAlign w:val="center"/>
          </w:tcPr>
          <w:p w14:paraId="0B03306B">
            <w:pPr>
              <w:pStyle w:val="26"/>
              <w:widowControl/>
              <w:autoSpaceDE w:val="0"/>
              <w:autoSpaceDN w:val="0"/>
              <w:spacing w:line="312" w:lineRule="auto"/>
              <w:jc w:val="center"/>
              <w:rPr>
                <w:sz w:val="18"/>
                <w:szCs w:val="18"/>
              </w:rPr>
            </w:pPr>
            <w:r>
              <w:rPr>
                <w:kern w:val="0"/>
                <w:sz w:val="18"/>
                <w:szCs w:val="18"/>
              </w:rPr>
              <w:t>Ⅰ</w:t>
            </w:r>
          </w:p>
        </w:tc>
        <w:tc>
          <w:tcPr>
            <w:tcW w:w="986" w:type="dxa"/>
            <w:vMerge w:val="restart"/>
            <w:vAlign w:val="center"/>
          </w:tcPr>
          <w:p w14:paraId="14652202">
            <w:pPr>
              <w:pStyle w:val="26"/>
              <w:widowControl/>
              <w:autoSpaceDE w:val="0"/>
              <w:autoSpaceDN w:val="0"/>
              <w:spacing w:line="312" w:lineRule="auto"/>
              <w:jc w:val="center"/>
              <w:rPr>
                <w:sz w:val="18"/>
                <w:szCs w:val="18"/>
              </w:rPr>
            </w:pPr>
            <w:r>
              <w:rPr>
                <w:kern w:val="0"/>
                <w:sz w:val="18"/>
                <w:szCs w:val="18"/>
              </w:rPr>
              <w:t>3</w:t>
            </w:r>
          </w:p>
        </w:tc>
        <w:tc>
          <w:tcPr>
            <w:tcW w:w="986" w:type="dxa"/>
            <w:vMerge w:val="restart"/>
            <w:vAlign w:val="center"/>
          </w:tcPr>
          <w:p w14:paraId="06D675DB">
            <w:pPr>
              <w:pStyle w:val="26"/>
              <w:widowControl/>
              <w:autoSpaceDE w:val="0"/>
              <w:autoSpaceDN w:val="0"/>
              <w:spacing w:line="312" w:lineRule="auto"/>
              <w:jc w:val="center"/>
              <w:rPr>
                <w:sz w:val="18"/>
                <w:szCs w:val="18"/>
              </w:rPr>
            </w:pPr>
            <w:r>
              <w:rPr>
                <w:kern w:val="0"/>
                <w:sz w:val="18"/>
                <w:szCs w:val="18"/>
              </w:rPr>
              <w:t>（0，1）</w:t>
            </w:r>
          </w:p>
        </w:tc>
      </w:tr>
      <w:tr w14:paraId="71F11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 w:hRule="atLeast"/>
          <w:jc w:val="center"/>
        </w:trPr>
        <w:tc>
          <w:tcPr>
            <w:tcW w:w="570" w:type="dxa"/>
            <w:vAlign w:val="center"/>
          </w:tcPr>
          <w:p w14:paraId="3904655B">
            <w:pPr>
              <w:pStyle w:val="26"/>
              <w:widowControl/>
              <w:autoSpaceDE w:val="0"/>
              <w:autoSpaceDN w:val="0"/>
              <w:spacing w:line="312" w:lineRule="auto"/>
              <w:jc w:val="center"/>
              <w:rPr>
                <w:kern w:val="0"/>
                <w:sz w:val="18"/>
                <w:szCs w:val="18"/>
              </w:rPr>
            </w:pPr>
            <w:r>
              <w:rPr>
                <w:kern w:val="0"/>
                <w:sz w:val="18"/>
                <w:szCs w:val="18"/>
              </w:rPr>
              <w:t>2</w:t>
            </w:r>
          </w:p>
        </w:tc>
        <w:tc>
          <w:tcPr>
            <w:tcW w:w="838" w:type="dxa"/>
            <w:vMerge w:val="continue"/>
            <w:vAlign w:val="center"/>
          </w:tcPr>
          <w:p w14:paraId="78B13995">
            <w:pPr>
              <w:widowControl/>
              <w:spacing w:line="312" w:lineRule="auto"/>
              <w:ind w:firstLine="360"/>
              <w:jc w:val="center"/>
              <w:rPr>
                <w:rFonts w:ascii="Times New Roman" w:hAnsi="Times New Roman"/>
                <w:sz w:val="18"/>
                <w:szCs w:val="18"/>
              </w:rPr>
            </w:pPr>
          </w:p>
        </w:tc>
        <w:tc>
          <w:tcPr>
            <w:tcW w:w="2204" w:type="dxa"/>
            <w:vAlign w:val="center"/>
          </w:tcPr>
          <w:p w14:paraId="41FB0E0D">
            <w:pPr>
              <w:widowControl/>
              <w:spacing w:line="312" w:lineRule="auto"/>
              <w:jc w:val="center"/>
              <w:rPr>
                <w:rFonts w:ascii="Times New Roman" w:hAnsi="Times New Roman"/>
                <w:kern w:val="0"/>
                <w:sz w:val="18"/>
                <w:szCs w:val="18"/>
              </w:rPr>
            </w:pPr>
            <w:r>
              <w:rPr>
                <w:rFonts w:ascii="Times New Roman" w:hAnsi="Times New Roman"/>
                <w:sz w:val="18"/>
                <w:szCs w:val="18"/>
              </w:rPr>
              <w:t>介电强度</w:t>
            </w:r>
          </w:p>
        </w:tc>
        <w:tc>
          <w:tcPr>
            <w:tcW w:w="985" w:type="dxa"/>
            <w:vAlign w:val="center"/>
          </w:tcPr>
          <w:p w14:paraId="5756EB8D">
            <w:pPr>
              <w:widowControl/>
              <w:spacing w:line="312" w:lineRule="auto"/>
              <w:jc w:val="center"/>
              <w:rPr>
                <w:rFonts w:ascii="Times New Roman" w:hAnsi="Times New Roman"/>
                <w:kern w:val="0"/>
                <w:sz w:val="18"/>
                <w:szCs w:val="18"/>
              </w:rPr>
            </w:pPr>
            <w:r>
              <w:rPr>
                <w:rFonts w:ascii="Times New Roman" w:hAnsi="Times New Roman"/>
                <w:kern w:val="0"/>
                <w:sz w:val="18"/>
                <w:szCs w:val="18"/>
              </w:rPr>
              <w:t>4.3.2</w:t>
            </w:r>
          </w:p>
        </w:tc>
        <w:tc>
          <w:tcPr>
            <w:tcW w:w="985" w:type="dxa"/>
            <w:vAlign w:val="center"/>
          </w:tcPr>
          <w:p w14:paraId="3C977077">
            <w:pPr>
              <w:widowControl/>
              <w:spacing w:line="312" w:lineRule="auto"/>
              <w:jc w:val="center"/>
              <w:rPr>
                <w:rFonts w:ascii="Times New Roman" w:hAnsi="Times New Roman"/>
                <w:kern w:val="0"/>
                <w:sz w:val="18"/>
                <w:szCs w:val="18"/>
              </w:rPr>
            </w:pPr>
            <w:r>
              <w:rPr>
                <w:rFonts w:ascii="Times New Roman" w:hAnsi="Times New Roman"/>
                <w:kern w:val="0"/>
                <w:sz w:val="18"/>
                <w:szCs w:val="18"/>
              </w:rPr>
              <w:t>5.3.2</w:t>
            </w:r>
          </w:p>
        </w:tc>
        <w:tc>
          <w:tcPr>
            <w:tcW w:w="986" w:type="dxa"/>
            <w:vMerge w:val="continue"/>
            <w:vAlign w:val="center"/>
          </w:tcPr>
          <w:p w14:paraId="18C262D2">
            <w:pPr>
              <w:widowControl/>
              <w:spacing w:line="312" w:lineRule="auto"/>
              <w:ind w:firstLine="360"/>
              <w:jc w:val="center"/>
              <w:rPr>
                <w:rFonts w:ascii="Times New Roman" w:hAnsi="Times New Roman"/>
                <w:sz w:val="18"/>
                <w:szCs w:val="18"/>
              </w:rPr>
            </w:pPr>
          </w:p>
        </w:tc>
        <w:tc>
          <w:tcPr>
            <w:tcW w:w="986" w:type="dxa"/>
            <w:vMerge w:val="continue"/>
            <w:vAlign w:val="center"/>
          </w:tcPr>
          <w:p w14:paraId="7455C0BE">
            <w:pPr>
              <w:widowControl/>
              <w:spacing w:line="312" w:lineRule="auto"/>
              <w:ind w:firstLine="360"/>
              <w:jc w:val="center"/>
              <w:rPr>
                <w:rFonts w:ascii="Times New Roman" w:hAnsi="Times New Roman"/>
                <w:sz w:val="18"/>
                <w:szCs w:val="18"/>
              </w:rPr>
            </w:pPr>
          </w:p>
        </w:tc>
        <w:tc>
          <w:tcPr>
            <w:tcW w:w="986" w:type="dxa"/>
            <w:vMerge w:val="continue"/>
            <w:vAlign w:val="center"/>
          </w:tcPr>
          <w:p w14:paraId="18D02A8B">
            <w:pPr>
              <w:widowControl/>
              <w:spacing w:line="312" w:lineRule="auto"/>
              <w:ind w:firstLine="360"/>
              <w:jc w:val="center"/>
              <w:rPr>
                <w:rFonts w:ascii="Times New Roman" w:hAnsi="Times New Roman"/>
                <w:sz w:val="18"/>
                <w:szCs w:val="18"/>
              </w:rPr>
            </w:pPr>
          </w:p>
        </w:tc>
        <w:tc>
          <w:tcPr>
            <w:tcW w:w="986" w:type="dxa"/>
            <w:vMerge w:val="continue"/>
            <w:vAlign w:val="center"/>
          </w:tcPr>
          <w:p w14:paraId="04FCD12B">
            <w:pPr>
              <w:widowControl/>
              <w:spacing w:line="312" w:lineRule="auto"/>
              <w:ind w:firstLine="360"/>
              <w:jc w:val="center"/>
              <w:rPr>
                <w:rFonts w:ascii="Times New Roman" w:hAnsi="Times New Roman"/>
                <w:sz w:val="18"/>
                <w:szCs w:val="18"/>
              </w:rPr>
            </w:pPr>
          </w:p>
        </w:tc>
      </w:tr>
      <w:tr w14:paraId="075D9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 w:hRule="atLeast"/>
          <w:jc w:val="center"/>
        </w:trPr>
        <w:tc>
          <w:tcPr>
            <w:tcW w:w="570" w:type="dxa"/>
            <w:vAlign w:val="center"/>
          </w:tcPr>
          <w:p w14:paraId="499AABE2">
            <w:pPr>
              <w:pStyle w:val="26"/>
              <w:widowControl/>
              <w:autoSpaceDE w:val="0"/>
              <w:autoSpaceDN w:val="0"/>
              <w:spacing w:line="312" w:lineRule="auto"/>
              <w:jc w:val="center"/>
              <w:rPr>
                <w:kern w:val="0"/>
                <w:sz w:val="18"/>
                <w:szCs w:val="18"/>
              </w:rPr>
            </w:pPr>
            <w:r>
              <w:rPr>
                <w:kern w:val="0"/>
                <w:sz w:val="18"/>
                <w:szCs w:val="18"/>
              </w:rPr>
              <w:t>3</w:t>
            </w:r>
          </w:p>
        </w:tc>
        <w:tc>
          <w:tcPr>
            <w:tcW w:w="838" w:type="dxa"/>
            <w:vMerge w:val="continue"/>
            <w:vAlign w:val="center"/>
          </w:tcPr>
          <w:p w14:paraId="4DC0C901">
            <w:pPr>
              <w:widowControl/>
              <w:spacing w:line="312" w:lineRule="auto"/>
              <w:ind w:firstLine="360"/>
              <w:jc w:val="center"/>
              <w:rPr>
                <w:rFonts w:ascii="Times New Roman" w:hAnsi="Times New Roman"/>
                <w:sz w:val="18"/>
                <w:szCs w:val="18"/>
              </w:rPr>
            </w:pPr>
          </w:p>
        </w:tc>
        <w:tc>
          <w:tcPr>
            <w:tcW w:w="2204" w:type="dxa"/>
            <w:vAlign w:val="center"/>
          </w:tcPr>
          <w:p w14:paraId="77EC0546">
            <w:pPr>
              <w:widowControl/>
              <w:spacing w:line="312" w:lineRule="auto"/>
              <w:jc w:val="center"/>
              <w:rPr>
                <w:rFonts w:ascii="Times New Roman" w:hAnsi="Times New Roman"/>
                <w:kern w:val="0"/>
                <w:sz w:val="18"/>
                <w:szCs w:val="18"/>
              </w:rPr>
            </w:pPr>
            <w:r>
              <w:rPr>
                <w:rFonts w:ascii="Times New Roman" w:hAnsi="Times New Roman"/>
                <w:sz w:val="18"/>
                <w:szCs w:val="18"/>
              </w:rPr>
              <w:t>接触电流</w:t>
            </w:r>
          </w:p>
        </w:tc>
        <w:tc>
          <w:tcPr>
            <w:tcW w:w="985" w:type="dxa"/>
            <w:vAlign w:val="center"/>
          </w:tcPr>
          <w:p w14:paraId="34934D6F">
            <w:pPr>
              <w:widowControl/>
              <w:spacing w:line="312" w:lineRule="auto"/>
              <w:jc w:val="center"/>
              <w:rPr>
                <w:rFonts w:ascii="Times New Roman" w:hAnsi="Times New Roman"/>
                <w:kern w:val="0"/>
                <w:sz w:val="18"/>
                <w:szCs w:val="18"/>
              </w:rPr>
            </w:pPr>
            <w:r>
              <w:rPr>
                <w:rFonts w:ascii="Times New Roman" w:hAnsi="Times New Roman"/>
                <w:kern w:val="0"/>
                <w:sz w:val="18"/>
                <w:szCs w:val="18"/>
              </w:rPr>
              <w:t>4.3.3</w:t>
            </w:r>
          </w:p>
        </w:tc>
        <w:tc>
          <w:tcPr>
            <w:tcW w:w="985" w:type="dxa"/>
            <w:vAlign w:val="center"/>
          </w:tcPr>
          <w:p w14:paraId="120E70AC">
            <w:pPr>
              <w:widowControl/>
              <w:spacing w:line="312" w:lineRule="auto"/>
              <w:jc w:val="center"/>
              <w:rPr>
                <w:rFonts w:ascii="Times New Roman" w:hAnsi="Times New Roman"/>
                <w:kern w:val="0"/>
                <w:sz w:val="18"/>
                <w:szCs w:val="18"/>
              </w:rPr>
            </w:pPr>
            <w:r>
              <w:rPr>
                <w:rFonts w:ascii="Times New Roman" w:hAnsi="Times New Roman"/>
                <w:kern w:val="0"/>
                <w:sz w:val="18"/>
                <w:szCs w:val="18"/>
              </w:rPr>
              <w:t>5.3.3</w:t>
            </w:r>
          </w:p>
        </w:tc>
        <w:tc>
          <w:tcPr>
            <w:tcW w:w="986" w:type="dxa"/>
            <w:vMerge w:val="continue"/>
            <w:vAlign w:val="center"/>
          </w:tcPr>
          <w:p w14:paraId="4F0525B0">
            <w:pPr>
              <w:widowControl/>
              <w:spacing w:line="312" w:lineRule="auto"/>
              <w:ind w:firstLine="360"/>
              <w:jc w:val="center"/>
              <w:rPr>
                <w:rFonts w:ascii="Times New Roman" w:hAnsi="Times New Roman"/>
                <w:sz w:val="18"/>
                <w:szCs w:val="18"/>
              </w:rPr>
            </w:pPr>
          </w:p>
        </w:tc>
        <w:tc>
          <w:tcPr>
            <w:tcW w:w="986" w:type="dxa"/>
            <w:vMerge w:val="continue"/>
            <w:vAlign w:val="center"/>
          </w:tcPr>
          <w:p w14:paraId="1383BB6A">
            <w:pPr>
              <w:widowControl/>
              <w:spacing w:line="312" w:lineRule="auto"/>
              <w:ind w:firstLine="360"/>
              <w:jc w:val="center"/>
              <w:rPr>
                <w:rFonts w:ascii="Times New Roman" w:hAnsi="Times New Roman"/>
                <w:sz w:val="18"/>
                <w:szCs w:val="18"/>
              </w:rPr>
            </w:pPr>
          </w:p>
        </w:tc>
        <w:tc>
          <w:tcPr>
            <w:tcW w:w="986" w:type="dxa"/>
            <w:vMerge w:val="continue"/>
            <w:vAlign w:val="center"/>
          </w:tcPr>
          <w:p w14:paraId="3FB98941">
            <w:pPr>
              <w:widowControl/>
              <w:spacing w:line="312" w:lineRule="auto"/>
              <w:ind w:firstLine="360"/>
              <w:jc w:val="center"/>
              <w:rPr>
                <w:rFonts w:ascii="Times New Roman" w:hAnsi="Times New Roman"/>
                <w:sz w:val="18"/>
                <w:szCs w:val="18"/>
              </w:rPr>
            </w:pPr>
          </w:p>
        </w:tc>
        <w:tc>
          <w:tcPr>
            <w:tcW w:w="986" w:type="dxa"/>
            <w:vMerge w:val="continue"/>
            <w:vAlign w:val="center"/>
          </w:tcPr>
          <w:p w14:paraId="4BD361D9">
            <w:pPr>
              <w:widowControl/>
              <w:spacing w:line="312" w:lineRule="auto"/>
              <w:ind w:firstLine="360"/>
              <w:jc w:val="center"/>
              <w:rPr>
                <w:rFonts w:ascii="Times New Roman" w:hAnsi="Times New Roman"/>
                <w:sz w:val="18"/>
                <w:szCs w:val="18"/>
              </w:rPr>
            </w:pPr>
          </w:p>
        </w:tc>
      </w:tr>
      <w:tr w14:paraId="60B7A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trPr>
        <w:tc>
          <w:tcPr>
            <w:tcW w:w="570" w:type="dxa"/>
            <w:vAlign w:val="center"/>
          </w:tcPr>
          <w:p w14:paraId="2C639015">
            <w:pPr>
              <w:pStyle w:val="26"/>
              <w:widowControl/>
              <w:autoSpaceDE w:val="0"/>
              <w:autoSpaceDN w:val="0"/>
              <w:spacing w:line="312" w:lineRule="auto"/>
              <w:jc w:val="center"/>
              <w:rPr>
                <w:sz w:val="18"/>
                <w:szCs w:val="18"/>
              </w:rPr>
            </w:pPr>
            <w:r>
              <w:rPr>
                <w:kern w:val="0"/>
                <w:sz w:val="18"/>
                <w:szCs w:val="18"/>
              </w:rPr>
              <w:t>4</w:t>
            </w:r>
          </w:p>
        </w:tc>
        <w:tc>
          <w:tcPr>
            <w:tcW w:w="838" w:type="dxa"/>
            <w:vMerge w:val="continue"/>
            <w:vAlign w:val="center"/>
          </w:tcPr>
          <w:p w14:paraId="029B3878">
            <w:pPr>
              <w:widowControl/>
              <w:spacing w:line="312" w:lineRule="auto"/>
              <w:ind w:firstLine="360"/>
              <w:jc w:val="center"/>
              <w:rPr>
                <w:rFonts w:ascii="Times New Roman" w:hAnsi="Times New Roman"/>
                <w:sz w:val="18"/>
                <w:szCs w:val="18"/>
              </w:rPr>
            </w:pPr>
          </w:p>
        </w:tc>
        <w:tc>
          <w:tcPr>
            <w:tcW w:w="2204" w:type="dxa"/>
            <w:vAlign w:val="center"/>
          </w:tcPr>
          <w:p w14:paraId="17D207F9">
            <w:pPr>
              <w:widowControl/>
              <w:spacing w:line="312" w:lineRule="auto"/>
              <w:jc w:val="center"/>
              <w:rPr>
                <w:rFonts w:ascii="Times New Roman" w:hAnsi="Times New Roman"/>
                <w:kern w:val="0"/>
                <w:sz w:val="18"/>
                <w:szCs w:val="18"/>
              </w:rPr>
            </w:pPr>
            <w:r>
              <w:rPr>
                <w:rFonts w:ascii="Times New Roman" w:hAnsi="Times New Roman"/>
                <w:sz w:val="18"/>
                <w:szCs w:val="18"/>
              </w:rPr>
              <w:t>保护接地</w:t>
            </w:r>
          </w:p>
        </w:tc>
        <w:tc>
          <w:tcPr>
            <w:tcW w:w="985" w:type="dxa"/>
            <w:vAlign w:val="center"/>
          </w:tcPr>
          <w:p w14:paraId="6F888DA9">
            <w:pPr>
              <w:widowControl/>
              <w:spacing w:line="312" w:lineRule="auto"/>
              <w:jc w:val="center"/>
              <w:rPr>
                <w:rFonts w:ascii="Times New Roman" w:hAnsi="Times New Roman"/>
                <w:sz w:val="18"/>
                <w:szCs w:val="18"/>
              </w:rPr>
            </w:pPr>
            <w:r>
              <w:rPr>
                <w:rFonts w:ascii="Times New Roman" w:hAnsi="Times New Roman"/>
                <w:kern w:val="0"/>
                <w:sz w:val="18"/>
                <w:szCs w:val="18"/>
              </w:rPr>
              <w:t>4.3.4</w:t>
            </w:r>
          </w:p>
        </w:tc>
        <w:tc>
          <w:tcPr>
            <w:tcW w:w="985" w:type="dxa"/>
            <w:vAlign w:val="center"/>
          </w:tcPr>
          <w:p w14:paraId="64AF71B2">
            <w:pPr>
              <w:widowControl/>
              <w:spacing w:line="312" w:lineRule="auto"/>
              <w:jc w:val="center"/>
              <w:rPr>
                <w:rFonts w:ascii="Times New Roman" w:hAnsi="Times New Roman"/>
                <w:sz w:val="18"/>
                <w:szCs w:val="18"/>
              </w:rPr>
            </w:pPr>
            <w:r>
              <w:rPr>
                <w:rFonts w:ascii="Times New Roman" w:hAnsi="Times New Roman"/>
                <w:kern w:val="0"/>
                <w:sz w:val="18"/>
                <w:szCs w:val="18"/>
              </w:rPr>
              <w:t>5.3.4</w:t>
            </w:r>
          </w:p>
        </w:tc>
        <w:tc>
          <w:tcPr>
            <w:tcW w:w="986" w:type="dxa"/>
            <w:vMerge w:val="continue"/>
            <w:vAlign w:val="center"/>
          </w:tcPr>
          <w:p w14:paraId="39A9A9AF">
            <w:pPr>
              <w:widowControl/>
              <w:spacing w:line="312" w:lineRule="auto"/>
              <w:ind w:firstLine="360"/>
              <w:jc w:val="center"/>
              <w:rPr>
                <w:rFonts w:ascii="Times New Roman" w:hAnsi="Times New Roman"/>
                <w:sz w:val="18"/>
                <w:szCs w:val="18"/>
              </w:rPr>
            </w:pPr>
          </w:p>
        </w:tc>
        <w:tc>
          <w:tcPr>
            <w:tcW w:w="986" w:type="dxa"/>
            <w:vMerge w:val="continue"/>
            <w:vAlign w:val="center"/>
          </w:tcPr>
          <w:p w14:paraId="3CDF6741">
            <w:pPr>
              <w:widowControl/>
              <w:spacing w:line="312" w:lineRule="auto"/>
              <w:ind w:firstLine="360"/>
              <w:jc w:val="center"/>
              <w:rPr>
                <w:rFonts w:ascii="Times New Roman" w:hAnsi="Times New Roman"/>
                <w:sz w:val="18"/>
                <w:szCs w:val="18"/>
              </w:rPr>
            </w:pPr>
          </w:p>
        </w:tc>
        <w:tc>
          <w:tcPr>
            <w:tcW w:w="986" w:type="dxa"/>
            <w:vMerge w:val="continue"/>
            <w:vAlign w:val="center"/>
          </w:tcPr>
          <w:p w14:paraId="618909CB">
            <w:pPr>
              <w:widowControl/>
              <w:spacing w:line="312" w:lineRule="auto"/>
              <w:ind w:firstLine="360"/>
              <w:jc w:val="center"/>
              <w:rPr>
                <w:rFonts w:ascii="Times New Roman" w:hAnsi="Times New Roman"/>
                <w:sz w:val="18"/>
                <w:szCs w:val="18"/>
              </w:rPr>
            </w:pPr>
          </w:p>
        </w:tc>
        <w:tc>
          <w:tcPr>
            <w:tcW w:w="986" w:type="dxa"/>
            <w:vMerge w:val="continue"/>
            <w:vAlign w:val="center"/>
          </w:tcPr>
          <w:p w14:paraId="6149A123">
            <w:pPr>
              <w:widowControl/>
              <w:spacing w:line="312" w:lineRule="auto"/>
              <w:ind w:firstLine="360"/>
              <w:jc w:val="center"/>
              <w:rPr>
                <w:rFonts w:ascii="Times New Roman" w:hAnsi="Times New Roman"/>
                <w:sz w:val="18"/>
                <w:szCs w:val="18"/>
              </w:rPr>
            </w:pPr>
          </w:p>
        </w:tc>
      </w:tr>
      <w:tr w14:paraId="4DAB8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 w:hRule="atLeast"/>
          <w:jc w:val="center"/>
        </w:trPr>
        <w:tc>
          <w:tcPr>
            <w:tcW w:w="570" w:type="dxa"/>
            <w:vAlign w:val="center"/>
          </w:tcPr>
          <w:p w14:paraId="00979BBE">
            <w:pPr>
              <w:pStyle w:val="26"/>
              <w:widowControl/>
              <w:autoSpaceDE w:val="0"/>
              <w:autoSpaceDN w:val="0"/>
              <w:spacing w:line="312" w:lineRule="auto"/>
              <w:jc w:val="center"/>
              <w:rPr>
                <w:sz w:val="18"/>
                <w:szCs w:val="18"/>
              </w:rPr>
            </w:pPr>
            <w:r>
              <w:rPr>
                <w:sz w:val="18"/>
                <w:szCs w:val="18"/>
              </w:rPr>
              <w:t>5</w:t>
            </w:r>
          </w:p>
        </w:tc>
        <w:tc>
          <w:tcPr>
            <w:tcW w:w="838" w:type="dxa"/>
            <w:vMerge w:val="continue"/>
            <w:vAlign w:val="center"/>
          </w:tcPr>
          <w:p w14:paraId="533E6D90">
            <w:pPr>
              <w:pStyle w:val="26"/>
              <w:widowControl/>
              <w:autoSpaceDE w:val="0"/>
              <w:autoSpaceDN w:val="0"/>
              <w:spacing w:line="312" w:lineRule="auto"/>
              <w:jc w:val="center"/>
              <w:rPr>
                <w:sz w:val="18"/>
                <w:szCs w:val="18"/>
              </w:rPr>
            </w:pPr>
          </w:p>
        </w:tc>
        <w:tc>
          <w:tcPr>
            <w:tcW w:w="2204" w:type="dxa"/>
            <w:vAlign w:val="center"/>
          </w:tcPr>
          <w:p w14:paraId="1CFE073B">
            <w:pPr>
              <w:widowControl/>
              <w:spacing w:line="312" w:lineRule="auto"/>
              <w:jc w:val="center"/>
              <w:rPr>
                <w:rFonts w:ascii="Times New Roman" w:hAnsi="Times New Roman"/>
                <w:kern w:val="0"/>
                <w:sz w:val="18"/>
                <w:szCs w:val="18"/>
              </w:rPr>
            </w:pPr>
            <w:r>
              <w:rPr>
                <w:rFonts w:ascii="Times New Roman" w:hAnsi="Times New Roman"/>
                <w:sz w:val="18"/>
                <w:szCs w:val="18"/>
              </w:rPr>
              <w:t>气路密封性</w:t>
            </w:r>
          </w:p>
        </w:tc>
        <w:tc>
          <w:tcPr>
            <w:tcW w:w="985" w:type="dxa"/>
            <w:vAlign w:val="center"/>
          </w:tcPr>
          <w:p w14:paraId="5868202C">
            <w:pPr>
              <w:widowControl/>
              <w:spacing w:line="312" w:lineRule="auto"/>
              <w:jc w:val="center"/>
              <w:rPr>
                <w:rFonts w:ascii="Times New Roman" w:hAnsi="Times New Roman"/>
                <w:kern w:val="0"/>
                <w:sz w:val="18"/>
                <w:szCs w:val="18"/>
              </w:rPr>
            </w:pPr>
            <w:r>
              <w:rPr>
                <w:rFonts w:ascii="Times New Roman" w:hAnsi="Times New Roman"/>
                <w:kern w:val="0"/>
                <w:sz w:val="18"/>
                <w:szCs w:val="18"/>
              </w:rPr>
              <w:t>4.4</w:t>
            </w:r>
          </w:p>
        </w:tc>
        <w:tc>
          <w:tcPr>
            <w:tcW w:w="985" w:type="dxa"/>
            <w:vAlign w:val="center"/>
          </w:tcPr>
          <w:p w14:paraId="2DA72B9A">
            <w:pPr>
              <w:widowControl/>
              <w:spacing w:line="312" w:lineRule="auto"/>
              <w:jc w:val="center"/>
              <w:rPr>
                <w:rFonts w:ascii="Times New Roman" w:hAnsi="Times New Roman"/>
                <w:kern w:val="0"/>
                <w:sz w:val="18"/>
                <w:szCs w:val="18"/>
              </w:rPr>
            </w:pPr>
            <w:r>
              <w:rPr>
                <w:rFonts w:ascii="Times New Roman" w:hAnsi="Times New Roman"/>
                <w:kern w:val="0"/>
                <w:sz w:val="18"/>
                <w:szCs w:val="18"/>
              </w:rPr>
              <w:t>5.4</w:t>
            </w:r>
          </w:p>
        </w:tc>
        <w:tc>
          <w:tcPr>
            <w:tcW w:w="986" w:type="dxa"/>
            <w:vMerge w:val="continue"/>
            <w:vAlign w:val="center"/>
          </w:tcPr>
          <w:p w14:paraId="014070D7">
            <w:pPr>
              <w:pStyle w:val="26"/>
              <w:widowControl/>
              <w:autoSpaceDE w:val="0"/>
              <w:autoSpaceDN w:val="0"/>
              <w:spacing w:line="312" w:lineRule="auto"/>
              <w:jc w:val="center"/>
              <w:rPr>
                <w:sz w:val="18"/>
                <w:szCs w:val="18"/>
              </w:rPr>
            </w:pPr>
          </w:p>
        </w:tc>
        <w:tc>
          <w:tcPr>
            <w:tcW w:w="986" w:type="dxa"/>
            <w:vMerge w:val="continue"/>
            <w:vAlign w:val="center"/>
          </w:tcPr>
          <w:p w14:paraId="20359CEF">
            <w:pPr>
              <w:widowControl/>
              <w:spacing w:line="312" w:lineRule="auto"/>
              <w:ind w:firstLine="360"/>
              <w:jc w:val="center"/>
              <w:rPr>
                <w:rFonts w:ascii="Times New Roman" w:hAnsi="Times New Roman"/>
                <w:sz w:val="18"/>
                <w:szCs w:val="18"/>
              </w:rPr>
            </w:pPr>
          </w:p>
        </w:tc>
        <w:tc>
          <w:tcPr>
            <w:tcW w:w="986" w:type="dxa"/>
            <w:vMerge w:val="continue"/>
            <w:vAlign w:val="center"/>
          </w:tcPr>
          <w:p w14:paraId="43D23279">
            <w:pPr>
              <w:widowControl/>
              <w:spacing w:line="312" w:lineRule="auto"/>
              <w:ind w:firstLine="360"/>
              <w:jc w:val="center"/>
              <w:rPr>
                <w:rFonts w:ascii="Times New Roman" w:hAnsi="Times New Roman"/>
                <w:sz w:val="18"/>
                <w:szCs w:val="18"/>
              </w:rPr>
            </w:pPr>
          </w:p>
        </w:tc>
        <w:tc>
          <w:tcPr>
            <w:tcW w:w="986" w:type="dxa"/>
            <w:vMerge w:val="continue"/>
            <w:vAlign w:val="center"/>
          </w:tcPr>
          <w:p w14:paraId="71E73365">
            <w:pPr>
              <w:pStyle w:val="26"/>
              <w:widowControl/>
              <w:autoSpaceDE w:val="0"/>
              <w:autoSpaceDN w:val="0"/>
              <w:spacing w:line="312" w:lineRule="auto"/>
              <w:jc w:val="center"/>
              <w:rPr>
                <w:sz w:val="18"/>
                <w:szCs w:val="18"/>
              </w:rPr>
            </w:pPr>
          </w:p>
        </w:tc>
      </w:tr>
      <w:tr w14:paraId="34355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 w:hRule="atLeast"/>
          <w:jc w:val="center"/>
        </w:trPr>
        <w:tc>
          <w:tcPr>
            <w:tcW w:w="570" w:type="dxa"/>
            <w:vAlign w:val="center"/>
          </w:tcPr>
          <w:p w14:paraId="495A5949">
            <w:pPr>
              <w:pStyle w:val="26"/>
              <w:widowControl/>
              <w:autoSpaceDE w:val="0"/>
              <w:autoSpaceDN w:val="0"/>
              <w:spacing w:line="312" w:lineRule="auto"/>
              <w:jc w:val="center"/>
              <w:rPr>
                <w:kern w:val="0"/>
                <w:sz w:val="18"/>
                <w:szCs w:val="18"/>
              </w:rPr>
            </w:pPr>
            <w:r>
              <w:rPr>
                <w:kern w:val="0"/>
                <w:sz w:val="18"/>
                <w:szCs w:val="18"/>
              </w:rPr>
              <w:t>6</w:t>
            </w:r>
          </w:p>
        </w:tc>
        <w:tc>
          <w:tcPr>
            <w:tcW w:w="838" w:type="dxa"/>
            <w:vMerge w:val="continue"/>
            <w:vAlign w:val="center"/>
          </w:tcPr>
          <w:p w14:paraId="2A202A13">
            <w:pPr>
              <w:widowControl/>
              <w:spacing w:line="312" w:lineRule="auto"/>
              <w:ind w:firstLine="360"/>
              <w:jc w:val="center"/>
              <w:rPr>
                <w:rFonts w:ascii="Times New Roman" w:hAnsi="Times New Roman"/>
                <w:sz w:val="18"/>
                <w:szCs w:val="18"/>
              </w:rPr>
            </w:pPr>
          </w:p>
        </w:tc>
        <w:tc>
          <w:tcPr>
            <w:tcW w:w="2204" w:type="dxa"/>
            <w:vAlign w:val="center"/>
          </w:tcPr>
          <w:p w14:paraId="2EFAEB9A">
            <w:pPr>
              <w:widowControl/>
              <w:spacing w:line="312" w:lineRule="auto"/>
              <w:jc w:val="center"/>
              <w:rPr>
                <w:rFonts w:ascii="Times New Roman" w:hAnsi="Times New Roman"/>
                <w:kern w:val="0"/>
                <w:sz w:val="18"/>
                <w:szCs w:val="18"/>
              </w:rPr>
            </w:pPr>
            <w:r>
              <w:rPr>
                <w:rFonts w:ascii="Times New Roman" w:hAnsi="Times New Roman"/>
                <w:sz w:val="18"/>
                <w:szCs w:val="18"/>
              </w:rPr>
              <w:t>气室温度稳定性</w:t>
            </w:r>
          </w:p>
        </w:tc>
        <w:tc>
          <w:tcPr>
            <w:tcW w:w="985" w:type="dxa"/>
            <w:vAlign w:val="center"/>
          </w:tcPr>
          <w:p w14:paraId="6B2D3E79">
            <w:pPr>
              <w:widowControl/>
              <w:spacing w:line="312" w:lineRule="auto"/>
              <w:jc w:val="center"/>
              <w:rPr>
                <w:rFonts w:ascii="Times New Roman" w:hAnsi="Times New Roman"/>
                <w:kern w:val="0"/>
                <w:sz w:val="18"/>
                <w:szCs w:val="18"/>
              </w:rPr>
            </w:pPr>
            <w:r>
              <w:rPr>
                <w:rFonts w:ascii="Times New Roman" w:hAnsi="Times New Roman"/>
                <w:kern w:val="0"/>
                <w:sz w:val="18"/>
                <w:szCs w:val="18"/>
              </w:rPr>
              <w:t>4.5</w:t>
            </w:r>
          </w:p>
        </w:tc>
        <w:tc>
          <w:tcPr>
            <w:tcW w:w="985" w:type="dxa"/>
            <w:vAlign w:val="center"/>
          </w:tcPr>
          <w:p w14:paraId="41C28565">
            <w:pPr>
              <w:widowControl/>
              <w:spacing w:line="312" w:lineRule="auto"/>
              <w:jc w:val="center"/>
              <w:rPr>
                <w:rFonts w:ascii="Times New Roman" w:hAnsi="Times New Roman"/>
                <w:kern w:val="0"/>
                <w:sz w:val="18"/>
                <w:szCs w:val="18"/>
              </w:rPr>
            </w:pPr>
            <w:r>
              <w:rPr>
                <w:rFonts w:ascii="Times New Roman" w:hAnsi="Times New Roman"/>
                <w:kern w:val="0"/>
                <w:sz w:val="18"/>
                <w:szCs w:val="18"/>
              </w:rPr>
              <w:t>5.5</w:t>
            </w:r>
          </w:p>
        </w:tc>
        <w:tc>
          <w:tcPr>
            <w:tcW w:w="986" w:type="dxa"/>
            <w:vMerge w:val="continue"/>
            <w:vAlign w:val="center"/>
          </w:tcPr>
          <w:p w14:paraId="5E843AA6">
            <w:pPr>
              <w:widowControl/>
              <w:spacing w:line="312" w:lineRule="auto"/>
              <w:ind w:firstLine="360"/>
              <w:jc w:val="center"/>
              <w:rPr>
                <w:rFonts w:ascii="Times New Roman" w:hAnsi="Times New Roman"/>
                <w:sz w:val="18"/>
                <w:szCs w:val="18"/>
              </w:rPr>
            </w:pPr>
          </w:p>
        </w:tc>
        <w:tc>
          <w:tcPr>
            <w:tcW w:w="986" w:type="dxa"/>
            <w:vMerge w:val="continue"/>
            <w:vAlign w:val="center"/>
          </w:tcPr>
          <w:p w14:paraId="11CACCAC">
            <w:pPr>
              <w:widowControl/>
              <w:spacing w:line="312" w:lineRule="auto"/>
              <w:ind w:firstLine="360"/>
              <w:jc w:val="center"/>
              <w:rPr>
                <w:rFonts w:ascii="Times New Roman" w:hAnsi="Times New Roman"/>
                <w:sz w:val="18"/>
                <w:szCs w:val="18"/>
              </w:rPr>
            </w:pPr>
          </w:p>
        </w:tc>
        <w:tc>
          <w:tcPr>
            <w:tcW w:w="986" w:type="dxa"/>
            <w:vMerge w:val="continue"/>
            <w:vAlign w:val="center"/>
          </w:tcPr>
          <w:p w14:paraId="2C1A9836">
            <w:pPr>
              <w:widowControl/>
              <w:spacing w:line="312" w:lineRule="auto"/>
              <w:ind w:firstLine="360"/>
              <w:jc w:val="center"/>
              <w:rPr>
                <w:rFonts w:ascii="Times New Roman" w:hAnsi="Times New Roman"/>
                <w:sz w:val="18"/>
                <w:szCs w:val="18"/>
              </w:rPr>
            </w:pPr>
          </w:p>
        </w:tc>
        <w:tc>
          <w:tcPr>
            <w:tcW w:w="986" w:type="dxa"/>
            <w:vMerge w:val="continue"/>
            <w:vAlign w:val="center"/>
          </w:tcPr>
          <w:p w14:paraId="134E0C2A">
            <w:pPr>
              <w:widowControl/>
              <w:spacing w:line="312" w:lineRule="auto"/>
              <w:ind w:firstLine="360"/>
              <w:jc w:val="center"/>
              <w:rPr>
                <w:rFonts w:ascii="Times New Roman" w:hAnsi="Times New Roman"/>
                <w:sz w:val="18"/>
                <w:szCs w:val="18"/>
              </w:rPr>
            </w:pPr>
          </w:p>
        </w:tc>
      </w:tr>
      <w:tr w14:paraId="20E4C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570" w:type="dxa"/>
            <w:vAlign w:val="center"/>
          </w:tcPr>
          <w:p w14:paraId="7C8DBF7C">
            <w:pPr>
              <w:pStyle w:val="26"/>
              <w:widowControl/>
              <w:autoSpaceDE w:val="0"/>
              <w:autoSpaceDN w:val="0"/>
              <w:spacing w:line="312" w:lineRule="auto"/>
              <w:jc w:val="center"/>
              <w:rPr>
                <w:sz w:val="18"/>
                <w:szCs w:val="18"/>
              </w:rPr>
            </w:pPr>
            <w:r>
              <w:rPr>
                <w:kern w:val="0"/>
                <w:sz w:val="18"/>
                <w:szCs w:val="18"/>
              </w:rPr>
              <w:t>7</w:t>
            </w:r>
          </w:p>
        </w:tc>
        <w:tc>
          <w:tcPr>
            <w:tcW w:w="838" w:type="dxa"/>
            <w:vMerge w:val="continue"/>
            <w:vAlign w:val="center"/>
          </w:tcPr>
          <w:p w14:paraId="64F7F39A">
            <w:pPr>
              <w:widowControl/>
              <w:spacing w:line="312" w:lineRule="auto"/>
              <w:ind w:firstLine="360"/>
              <w:jc w:val="center"/>
              <w:rPr>
                <w:rFonts w:ascii="Times New Roman" w:hAnsi="Times New Roman"/>
                <w:sz w:val="18"/>
                <w:szCs w:val="18"/>
              </w:rPr>
            </w:pPr>
          </w:p>
        </w:tc>
        <w:tc>
          <w:tcPr>
            <w:tcW w:w="2204" w:type="dxa"/>
            <w:vAlign w:val="center"/>
          </w:tcPr>
          <w:p w14:paraId="17494905">
            <w:pPr>
              <w:widowControl/>
              <w:spacing w:line="312" w:lineRule="auto"/>
              <w:jc w:val="center"/>
              <w:rPr>
                <w:rFonts w:ascii="Times New Roman" w:hAnsi="Times New Roman"/>
                <w:kern w:val="0"/>
                <w:sz w:val="18"/>
                <w:szCs w:val="18"/>
              </w:rPr>
            </w:pPr>
            <w:r>
              <w:rPr>
                <w:rFonts w:ascii="Times New Roman" w:hAnsi="Times New Roman"/>
                <w:sz w:val="18"/>
                <w:szCs w:val="18"/>
              </w:rPr>
              <w:t>检出限</w:t>
            </w:r>
          </w:p>
        </w:tc>
        <w:tc>
          <w:tcPr>
            <w:tcW w:w="985" w:type="dxa"/>
            <w:vAlign w:val="center"/>
          </w:tcPr>
          <w:p w14:paraId="7182F1C5">
            <w:pPr>
              <w:widowControl/>
              <w:spacing w:line="312" w:lineRule="auto"/>
              <w:jc w:val="center"/>
              <w:rPr>
                <w:rFonts w:ascii="Times New Roman" w:hAnsi="Times New Roman"/>
                <w:sz w:val="18"/>
                <w:szCs w:val="18"/>
              </w:rPr>
            </w:pPr>
            <w:r>
              <w:rPr>
                <w:rFonts w:ascii="Times New Roman" w:hAnsi="Times New Roman"/>
                <w:kern w:val="0"/>
                <w:sz w:val="18"/>
                <w:szCs w:val="18"/>
              </w:rPr>
              <w:t>4.6.1</w:t>
            </w:r>
          </w:p>
        </w:tc>
        <w:tc>
          <w:tcPr>
            <w:tcW w:w="985" w:type="dxa"/>
            <w:vAlign w:val="center"/>
          </w:tcPr>
          <w:p w14:paraId="4782122B">
            <w:pPr>
              <w:widowControl/>
              <w:spacing w:line="312" w:lineRule="auto"/>
              <w:jc w:val="center"/>
              <w:rPr>
                <w:rFonts w:ascii="Times New Roman" w:hAnsi="Times New Roman"/>
                <w:sz w:val="18"/>
                <w:szCs w:val="18"/>
              </w:rPr>
            </w:pPr>
            <w:r>
              <w:rPr>
                <w:rFonts w:ascii="Times New Roman" w:hAnsi="Times New Roman"/>
                <w:kern w:val="0"/>
                <w:sz w:val="18"/>
                <w:szCs w:val="18"/>
              </w:rPr>
              <w:t>5.6.2</w:t>
            </w:r>
          </w:p>
        </w:tc>
        <w:tc>
          <w:tcPr>
            <w:tcW w:w="986" w:type="dxa"/>
            <w:vMerge w:val="continue"/>
            <w:vAlign w:val="center"/>
          </w:tcPr>
          <w:p w14:paraId="63FFE259">
            <w:pPr>
              <w:widowControl/>
              <w:spacing w:line="312" w:lineRule="auto"/>
              <w:ind w:firstLine="360"/>
              <w:jc w:val="center"/>
              <w:rPr>
                <w:rFonts w:ascii="Times New Roman" w:hAnsi="Times New Roman"/>
                <w:sz w:val="18"/>
                <w:szCs w:val="18"/>
              </w:rPr>
            </w:pPr>
          </w:p>
        </w:tc>
        <w:tc>
          <w:tcPr>
            <w:tcW w:w="986" w:type="dxa"/>
            <w:vMerge w:val="continue"/>
            <w:vAlign w:val="center"/>
          </w:tcPr>
          <w:p w14:paraId="6A9B4B4B">
            <w:pPr>
              <w:widowControl/>
              <w:spacing w:line="312" w:lineRule="auto"/>
              <w:ind w:firstLine="360"/>
              <w:jc w:val="center"/>
              <w:rPr>
                <w:rFonts w:ascii="Times New Roman" w:hAnsi="Times New Roman"/>
                <w:sz w:val="18"/>
                <w:szCs w:val="18"/>
              </w:rPr>
            </w:pPr>
          </w:p>
        </w:tc>
        <w:tc>
          <w:tcPr>
            <w:tcW w:w="986" w:type="dxa"/>
            <w:vMerge w:val="continue"/>
            <w:vAlign w:val="center"/>
          </w:tcPr>
          <w:p w14:paraId="62A469B7">
            <w:pPr>
              <w:widowControl/>
              <w:spacing w:line="312" w:lineRule="auto"/>
              <w:ind w:firstLine="360"/>
              <w:jc w:val="center"/>
              <w:rPr>
                <w:rFonts w:ascii="Times New Roman" w:hAnsi="Times New Roman"/>
                <w:sz w:val="18"/>
                <w:szCs w:val="18"/>
              </w:rPr>
            </w:pPr>
          </w:p>
        </w:tc>
        <w:tc>
          <w:tcPr>
            <w:tcW w:w="986" w:type="dxa"/>
            <w:vMerge w:val="continue"/>
            <w:vAlign w:val="center"/>
          </w:tcPr>
          <w:p w14:paraId="587879C8">
            <w:pPr>
              <w:widowControl/>
              <w:spacing w:line="312" w:lineRule="auto"/>
              <w:ind w:firstLine="360"/>
              <w:jc w:val="center"/>
              <w:rPr>
                <w:rFonts w:ascii="Times New Roman" w:hAnsi="Times New Roman"/>
                <w:sz w:val="18"/>
                <w:szCs w:val="18"/>
              </w:rPr>
            </w:pPr>
          </w:p>
        </w:tc>
      </w:tr>
      <w:tr w14:paraId="152A0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 w:hRule="atLeast"/>
          <w:jc w:val="center"/>
        </w:trPr>
        <w:tc>
          <w:tcPr>
            <w:tcW w:w="570" w:type="dxa"/>
            <w:vAlign w:val="center"/>
          </w:tcPr>
          <w:p w14:paraId="02E02F29">
            <w:pPr>
              <w:pStyle w:val="26"/>
              <w:widowControl/>
              <w:autoSpaceDE w:val="0"/>
              <w:autoSpaceDN w:val="0"/>
              <w:spacing w:line="312" w:lineRule="auto"/>
              <w:jc w:val="center"/>
              <w:rPr>
                <w:sz w:val="18"/>
                <w:szCs w:val="18"/>
              </w:rPr>
            </w:pPr>
            <w:r>
              <w:rPr>
                <w:kern w:val="0"/>
                <w:sz w:val="18"/>
                <w:szCs w:val="18"/>
              </w:rPr>
              <w:t>8</w:t>
            </w:r>
          </w:p>
        </w:tc>
        <w:tc>
          <w:tcPr>
            <w:tcW w:w="838" w:type="dxa"/>
            <w:vMerge w:val="continue"/>
            <w:vAlign w:val="center"/>
          </w:tcPr>
          <w:p w14:paraId="6D7DDB55">
            <w:pPr>
              <w:pStyle w:val="26"/>
              <w:widowControl/>
              <w:autoSpaceDE w:val="0"/>
              <w:autoSpaceDN w:val="0"/>
              <w:spacing w:line="312" w:lineRule="auto"/>
              <w:ind w:firstLine="360"/>
              <w:jc w:val="center"/>
              <w:rPr>
                <w:sz w:val="18"/>
                <w:szCs w:val="18"/>
              </w:rPr>
            </w:pPr>
          </w:p>
        </w:tc>
        <w:tc>
          <w:tcPr>
            <w:tcW w:w="2204" w:type="dxa"/>
            <w:vAlign w:val="center"/>
          </w:tcPr>
          <w:p w14:paraId="105448DD">
            <w:pPr>
              <w:widowControl/>
              <w:spacing w:line="312" w:lineRule="auto"/>
              <w:jc w:val="center"/>
              <w:rPr>
                <w:rFonts w:ascii="Times New Roman" w:hAnsi="Times New Roman"/>
                <w:sz w:val="18"/>
                <w:szCs w:val="18"/>
              </w:rPr>
            </w:pPr>
            <w:r>
              <w:rPr>
                <w:rFonts w:ascii="Times New Roman" w:hAnsi="Times New Roman"/>
                <w:sz w:val="18"/>
                <w:szCs w:val="18"/>
              </w:rPr>
              <w:t>示值误差</w:t>
            </w:r>
          </w:p>
        </w:tc>
        <w:tc>
          <w:tcPr>
            <w:tcW w:w="985" w:type="dxa"/>
            <w:vAlign w:val="center"/>
          </w:tcPr>
          <w:p w14:paraId="0C7C0FF1">
            <w:pPr>
              <w:widowControl/>
              <w:spacing w:line="312" w:lineRule="auto"/>
              <w:jc w:val="center"/>
              <w:rPr>
                <w:rFonts w:ascii="Times New Roman" w:hAnsi="Times New Roman"/>
                <w:sz w:val="18"/>
                <w:szCs w:val="18"/>
              </w:rPr>
            </w:pPr>
            <w:r>
              <w:rPr>
                <w:rFonts w:ascii="Times New Roman" w:hAnsi="Times New Roman"/>
                <w:kern w:val="0"/>
                <w:sz w:val="18"/>
                <w:szCs w:val="18"/>
              </w:rPr>
              <w:t>4.6.2</w:t>
            </w:r>
          </w:p>
        </w:tc>
        <w:tc>
          <w:tcPr>
            <w:tcW w:w="985" w:type="dxa"/>
            <w:vAlign w:val="center"/>
          </w:tcPr>
          <w:p w14:paraId="0E7C593C">
            <w:pPr>
              <w:widowControl/>
              <w:spacing w:line="312" w:lineRule="auto"/>
              <w:jc w:val="center"/>
              <w:rPr>
                <w:rFonts w:ascii="Times New Roman" w:hAnsi="Times New Roman"/>
                <w:sz w:val="18"/>
                <w:szCs w:val="18"/>
              </w:rPr>
            </w:pPr>
            <w:r>
              <w:rPr>
                <w:rFonts w:ascii="Times New Roman" w:hAnsi="Times New Roman"/>
                <w:kern w:val="0"/>
                <w:sz w:val="18"/>
                <w:szCs w:val="18"/>
              </w:rPr>
              <w:t>5.6.3</w:t>
            </w:r>
          </w:p>
        </w:tc>
        <w:tc>
          <w:tcPr>
            <w:tcW w:w="986" w:type="dxa"/>
            <w:vMerge w:val="continue"/>
            <w:vAlign w:val="center"/>
          </w:tcPr>
          <w:p w14:paraId="53780D9D">
            <w:pPr>
              <w:pStyle w:val="26"/>
              <w:widowControl/>
              <w:autoSpaceDE w:val="0"/>
              <w:autoSpaceDN w:val="0"/>
              <w:spacing w:line="312" w:lineRule="auto"/>
              <w:ind w:firstLine="360"/>
              <w:jc w:val="center"/>
              <w:rPr>
                <w:sz w:val="18"/>
                <w:szCs w:val="18"/>
              </w:rPr>
            </w:pPr>
          </w:p>
        </w:tc>
        <w:tc>
          <w:tcPr>
            <w:tcW w:w="986" w:type="dxa"/>
            <w:vMerge w:val="continue"/>
            <w:vAlign w:val="center"/>
          </w:tcPr>
          <w:p w14:paraId="3FAF306E">
            <w:pPr>
              <w:widowControl/>
              <w:spacing w:line="312" w:lineRule="auto"/>
              <w:ind w:firstLine="360"/>
              <w:jc w:val="center"/>
              <w:rPr>
                <w:rFonts w:ascii="Times New Roman" w:hAnsi="Times New Roman"/>
                <w:sz w:val="18"/>
                <w:szCs w:val="18"/>
              </w:rPr>
            </w:pPr>
          </w:p>
        </w:tc>
        <w:tc>
          <w:tcPr>
            <w:tcW w:w="986" w:type="dxa"/>
            <w:vMerge w:val="continue"/>
            <w:vAlign w:val="center"/>
          </w:tcPr>
          <w:p w14:paraId="3EE1B11F">
            <w:pPr>
              <w:widowControl/>
              <w:spacing w:line="312" w:lineRule="auto"/>
              <w:ind w:firstLine="360"/>
              <w:jc w:val="center"/>
              <w:rPr>
                <w:rFonts w:ascii="Times New Roman" w:hAnsi="Times New Roman"/>
                <w:sz w:val="18"/>
                <w:szCs w:val="18"/>
              </w:rPr>
            </w:pPr>
          </w:p>
        </w:tc>
        <w:tc>
          <w:tcPr>
            <w:tcW w:w="986" w:type="dxa"/>
            <w:vMerge w:val="continue"/>
            <w:vAlign w:val="center"/>
          </w:tcPr>
          <w:p w14:paraId="7354BED6">
            <w:pPr>
              <w:pStyle w:val="26"/>
              <w:widowControl/>
              <w:autoSpaceDE w:val="0"/>
              <w:autoSpaceDN w:val="0"/>
              <w:spacing w:line="312" w:lineRule="auto"/>
              <w:ind w:firstLine="360"/>
              <w:jc w:val="center"/>
              <w:rPr>
                <w:sz w:val="18"/>
                <w:szCs w:val="18"/>
              </w:rPr>
            </w:pPr>
          </w:p>
        </w:tc>
      </w:tr>
      <w:tr w14:paraId="5C662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 w:hRule="atLeast"/>
          <w:jc w:val="center"/>
        </w:trPr>
        <w:tc>
          <w:tcPr>
            <w:tcW w:w="570" w:type="dxa"/>
            <w:vAlign w:val="center"/>
          </w:tcPr>
          <w:p w14:paraId="08CEC8B8">
            <w:pPr>
              <w:pStyle w:val="26"/>
              <w:widowControl/>
              <w:autoSpaceDE w:val="0"/>
              <w:autoSpaceDN w:val="0"/>
              <w:spacing w:line="312" w:lineRule="auto"/>
              <w:jc w:val="center"/>
              <w:rPr>
                <w:kern w:val="0"/>
                <w:sz w:val="18"/>
                <w:szCs w:val="18"/>
              </w:rPr>
            </w:pPr>
            <w:r>
              <w:rPr>
                <w:kern w:val="0"/>
                <w:sz w:val="18"/>
                <w:szCs w:val="18"/>
              </w:rPr>
              <w:t>9</w:t>
            </w:r>
          </w:p>
        </w:tc>
        <w:tc>
          <w:tcPr>
            <w:tcW w:w="838" w:type="dxa"/>
            <w:vMerge w:val="continue"/>
            <w:vAlign w:val="center"/>
          </w:tcPr>
          <w:p w14:paraId="7FF6F416">
            <w:pPr>
              <w:pStyle w:val="26"/>
              <w:widowControl/>
              <w:autoSpaceDE w:val="0"/>
              <w:autoSpaceDN w:val="0"/>
              <w:spacing w:line="312" w:lineRule="auto"/>
              <w:ind w:firstLine="360"/>
              <w:jc w:val="center"/>
              <w:rPr>
                <w:kern w:val="0"/>
                <w:sz w:val="18"/>
                <w:szCs w:val="18"/>
              </w:rPr>
            </w:pPr>
          </w:p>
        </w:tc>
        <w:tc>
          <w:tcPr>
            <w:tcW w:w="2204" w:type="dxa"/>
            <w:vAlign w:val="center"/>
          </w:tcPr>
          <w:p w14:paraId="3FFEE781">
            <w:pPr>
              <w:widowControl/>
              <w:spacing w:line="312" w:lineRule="auto"/>
              <w:jc w:val="center"/>
              <w:rPr>
                <w:rFonts w:ascii="Times New Roman" w:hAnsi="Times New Roman"/>
                <w:sz w:val="18"/>
                <w:szCs w:val="18"/>
              </w:rPr>
            </w:pPr>
            <w:r>
              <w:rPr>
                <w:rFonts w:ascii="Times New Roman" w:hAnsi="Times New Roman"/>
                <w:sz w:val="18"/>
                <w:szCs w:val="18"/>
              </w:rPr>
              <w:t>重复性</w:t>
            </w:r>
          </w:p>
        </w:tc>
        <w:tc>
          <w:tcPr>
            <w:tcW w:w="985" w:type="dxa"/>
            <w:vAlign w:val="center"/>
          </w:tcPr>
          <w:p w14:paraId="31040EEA">
            <w:pPr>
              <w:widowControl/>
              <w:spacing w:line="312" w:lineRule="auto"/>
              <w:jc w:val="center"/>
              <w:rPr>
                <w:rFonts w:ascii="Times New Roman" w:hAnsi="Times New Roman"/>
                <w:sz w:val="18"/>
                <w:szCs w:val="18"/>
              </w:rPr>
            </w:pPr>
            <w:r>
              <w:rPr>
                <w:rFonts w:ascii="Times New Roman" w:hAnsi="Times New Roman"/>
                <w:kern w:val="0"/>
                <w:sz w:val="18"/>
                <w:szCs w:val="18"/>
              </w:rPr>
              <w:t>4.6.3</w:t>
            </w:r>
          </w:p>
        </w:tc>
        <w:tc>
          <w:tcPr>
            <w:tcW w:w="985" w:type="dxa"/>
            <w:vAlign w:val="center"/>
          </w:tcPr>
          <w:p w14:paraId="03BCF2B0">
            <w:pPr>
              <w:widowControl/>
              <w:spacing w:line="312" w:lineRule="auto"/>
              <w:jc w:val="center"/>
              <w:rPr>
                <w:rFonts w:ascii="Times New Roman" w:hAnsi="Times New Roman"/>
                <w:sz w:val="18"/>
                <w:szCs w:val="18"/>
              </w:rPr>
            </w:pPr>
            <w:r>
              <w:rPr>
                <w:rFonts w:ascii="Times New Roman" w:hAnsi="Times New Roman"/>
                <w:kern w:val="0"/>
                <w:sz w:val="18"/>
                <w:szCs w:val="18"/>
              </w:rPr>
              <w:t>5.6.4</w:t>
            </w:r>
          </w:p>
        </w:tc>
        <w:tc>
          <w:tcPr>
            <w:tcW w:w="986" w:type="dxa"/>
            <w:vMerge w:val="continue"/>
            <w:vAlign w:val="center"/>
          </w:tcPr>
          <w:p w14:paraId="02B70EF3">
            <w:pPr>
              <w:pStyle w:val="26"/>
              <w:widowControl/>
              <w:autoSpaceDE w:val="0"/>
              <w:autoSpaceDN w:val="0"/>
              <w:spacing w:line="312" w:lineRule="auto"/>
              <w:ind w:firstLine="360"/>
              <w:jc w:val="center"/>
              <w:rPr>
                <w:kern w:val="0"/>
                <w:sz w:val="18"/>
                <w:szCs w:val="18"/>
              </w:rPr>
            </w:pPr>
          </w:p>
        </w:tc>
        <w:tc>
          <w:tcPr>
            <w:tcW w:w="986" w:type="dxa"/>
            <w:vMerge w:val="continue"/>
            <w:vAlign w:val="center"/>
          </w:tcPr>
          <w:p w14:paraId="43C53EEB">
            <w:pPr>
              <w:widowControl/>
              <w:spacing w:line="312" w:lineRule="auto"/>
              <w:ind w:firstLine="360"/>
              <w:jc w:val="center"/>
              <w:rPr>
                <w:rFonts w:ascii="Times New Roman" w:hAnsi="Times New Roman"/>
                <w:sz w:val="18"/>
                <w:szCs w:val="18"/>
              </w:rPr>
            </w:pPr>
          </w:p>
        </w:tc>
        <w:tc>
          <w:tcPr>
            <w:tcW w:w="986" w:type="dxa"/>
            <w:vMerge w:val="continue"/>
            <w:vAlign w:val="center"/>
          </w:tcPr>
          <w:p w14:paraId="010B9186">
            <w:pPr>
              <w:widowControl/>
              <w:spacing w:line="312" w:lineRule="auto"/>
              <w:ind w:firstLine="360"/>
              <w:jc w:val="center"/>
              <w:rPr>
                <w:rFonts w:ascii="Times New Roman" w:hAnsi="Times New Roman"/>
                <w:sz w:val="18"/>
                <w:szCs w:val="18"/>
              </w:rPr>
            </w:pPr>
          </w:p>
        </w:tc>
        <w:tc>
          <w:tcPr>
            <w:tcW w:w="986" w:type="dxa"/>
            <w:vMerge w:val="continue"/>
            <w:vAlign w:val="center"/>
          </w:tcPr>
          <w:p w14:paraId="33DA651F">
            <w:pPr>
              <w:pStyle w:val="26"/>
              <w:widowControl/>
              <w:autoSpaceDE w:val="0"/>
              <w:autoSpaceDN w:val="0"/>
              <w:spacing w:line="312" w:lineRule="auto"/>
              <w:ind w:firstLine="360"/>
              <w:jc w:val="center"/>
              <w:rPr>
                <w:kern w:val="0"/>
                <w:sz w:val="18"/>
                <w:szCs w:val="18"/>
              </w:rPr>
            </w:pPr>
          </w:p>
        </w:tc>
      </w:tr>
      <w:tr w14:paraId="13037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 w:hRule="atLeast"/>
          <w:jc w:val="center"/>
        </w:trPr>
        <w:tc>
          <w:tcPr>
            <w:tcW w:w="570" w:type="dxa"/>
            <w:vAlign w:val="center"/>
          </w:tcPr>
          <w:p w14:paraId="56D4982E">
            <w:pPr>
              <w:pStyle w:val="26"/>
              <w:widowControl/>
              <w:autoSpaceDE w:val="0"/>
              <w:autoSpaceDN w:val="0"/>
              <w:spacing w:line="312" w:lineRule="auto"/>
              <w:jc w:val="center"/>
              <w:rPr>
                <w:kern w:val="0"/>
                <w:sz w:val="18"/>
                <w:szCs w:val="18"/>
              </w:rPr>
            </w:pPr>
            <w:r>
              <w:rPr>
                <w:kern w:val="0"/>
                <w:sz w:val="18"/>
                <w:szCs w:val="18"/>
              </w:rPr>
              <w:t>10</w:t>
            </w:r>
          </w:p>
        </w:tc>
        <w:tc>
          <w:tcPr>
            <w:tcW w:w="838" w:type="dxa"/>
            <w:vMerge w:val="continue"/>
            <w:vAlign w:val="center"/>
          </w:tcPr>
          <w:p w14:paraId="34DEF62D">
            <w:pPr>
              <w:pStyle w:val="26"/>
              <w:widowControl/>
              <w:autoSpaceDE w:val="0"/>
              <w:autoSpaceDN w:val="0"/>
              <w:spacing w:line="312" w:lineRule="auto"/>
              <w:ind w:firstLine="360"/>
              <w:jc w:val="center"/>
              <w:rPr>
                <w:kern w:val="0"/>
                <w:sz w:val="18"/>
                <w:szCs w:val="18"/>
              </w:rPr>
            </w:pPr>
          </w:p>
        </w:tc>
        <w:tc>
          <w:tcPr>
            <w:tcW w:w="2204" w:type="dxa"/>
            <w:vAlign w:val="center"/>
          </w:tcPr>
          <w:p w14:paraId="6896F18A">
            <w:pPr>
              <w:widowControl/>
              <w:spacing w:line="312" w:lineRule="auto"/>
              <w:jc w:val="center"/>
              <w:rPr>
                <w:rFonts w:ascii="Times New Roman" w:hAnsi="Times New Roman"/>
                <w:sz w:val="18"/>
                <w:szCs w:val="18"/>
              </w:rPr>
            </w:pPr>
            <w:r>
              <w:rPr>
                <w:rFonts w:ascii="Times New Roman" w:hAnsi="Times New Roman"/>
                <w:sz w:val="18"/>
                <w:szCs w:val="18"/>
              </w:rPr>
              <w:t>响应时间</w:t>
            </w:r>
          </w:p>
        </w:tc>
        <w:tc>
          <w:tcPr>
            <w:tcW w:w="985" w:type="dxa"/>
            <w:vAlign w:val="center"/>
          </w:tcPr>
          <w:p w14:paraId="01BD2922">
            <w:pPr>
              <w:widowControl/>
              <w:spacing w:line="312" w:lineRule="auto"/>
              <w:jc w:val="center"/>
              <w:rPr>
                <w:rFonts w:ascii="Times New Roman" w:hAnsi="Times New Roman"/>
                <w:sz w:val="18"/>
                <w:szCs w:val="18"/>
              </w:rPr>
            </w:pPr>
            <w:r>
              <w:rPr>
                <w:rFonts w:ascii="Times New Roman" w:hAnsi="Times New Roman"/>
                <w:kern w:val="0"/>
                <w:sz w:val="18"/>
                <w:szCs w:val="18"/>
              </w:rPr>
              <w:t>4.6.4</w:t>
            </w:r>
          </w:p>
        </w:tc>
        <w:tc>
          <w:tcPr>
            <w:tcW w:w="985" w:type="dxa"/>
            <w:vAlign w:val="center"/>
          </w:tcPr>
          <w:p w14:paraId="50DFA357">
            <w:pPr>
              <w:widowControl/>
              <w:spacing w:line="312" w:lineRule="auto"/>
              <w:jc w:val="center"/>
              <w:rPr>
                <w:rFonts w:ascii="Times New Roman" w:hAnsi="Times New Roman"/>
                <w:sz w:val="18"/>
                <w:szCs w:val="18"/>
              </w:rPr>
            </w:pPr>
            <w:r>
              <w:rPr>
                <w:rFonts w:ascii="Times New Roman" w:hAnsi="Times New Roman"/>
                <w:kern w:val="0"/>
                <w:sz w:val="18"/>
                <w:szCs w:val="18"/>
              </w:rPr>
              <w:t>5.6.5</w:t>
            </w:r>
          </w:p>
        </w:tc>
        <w:tc>
          <w:tcPr>
            <w:tcW w:w="986" w:type="dxa"/>
            <w:vMerge w:val="continue"/>
            <w:vAlign w:val="center"/>
          </w:tcPr>
          <w:p w14:paraId="2E8A1DF8">
            <w:pPr>
              <w:pStyle w:val="26"/>
              <w:widowControl/>
              <w:autoSpaceDE w:val="0"/>
              <w:autoSpaceDN w:val="0"/>
              <w:spacing w:line="312" w:lineRule="auto"/>
              <w:ind w:firstLine="360"/>
              <w:jc w:val="center"/>
              <w:rPr>
                <w:kern w:val="0"/>
                <w:sz w:val="18"/>
                <w:szCs w:val="18"/>
              </w:rPr>
            </w:pPr>
          </w:p>
        </w:tc>
        <w:tc>
          <w:tcPr>
            <w:tcW w:w="986" w:type="dxa"/>
            <w:vMerge w:val="continue"/>
            <w:vAlign w:val="center"/>
          </w:tcPr>
          <w:p w14:paraId="03AC8A04">
            <w:pPr>
              <w:widowControl/>
              <w:spacing w:line="312" w:lineRule="auto"/>
              <w:ind w:firstLine="360"/>
              <w:jc w:val="center"/>
              <w:rPr>
                <w:rFonts w:ascii="Times New Roman" w:hAnsi="Times New Roman"/>
                <w:sz w:val="18"/>
                <w:szCs w:val="18"/>
              </w:rPr>
            </w:pPr>
          </w:p>
        </w:tc>
        <w:tc>
          <w:tcPr>
            <w:tcW w:w="986" w:type="dxa"/>
            <w:vMerge w:val="continue"/>
            <w:vAlign w:val="center"/>
          </w:tcPr>
          <w:p w14:paraId="0D37638B">
            <w:pPr>
              <w:widowControl/>
              <w:spacing w:line="312" w:lineRule="auto"/>
              <w:ind w:firstLine="360"/>
              <w:jc w:val="center"/>
              <w:rPr>
                <w:rFonts w:ascii="Times New Roman" w:hAnsi="Times New Roman"/>
                <w:sz w:val="18"/>
                <w:szCs w:val="18"/>
              </w:rPr>
            </w:pPr>
          </w:p>
        </w:tc>
        <w:tc>
          <w:tcPr>
            <w:tcW w:w="986" w:type="dxa"/>
            <w:vMerge w:val="continue"/>
            <w:vAlign w:val="center"/>
          </w:tcPr>
          <w:p w14:paraId="20F285CB">
            <w:pPr>
              <w:pStyle w:val="26"/>
              <w:widowControl/>
              <w:autoSpaceDE w:val="0"/>
              <w:autoSpaceDN w:val="0"/>
              <w:spacing w:line="312" w:lineRule="auto"/>
              <w:ind w:firstLine="360"/>
              <w:jc w:val="center"/>
              <w:rPr>
                <w:kern w:val="0"/>
                <w:sz w:val="18"/>
                <w:szCs w:val="18"/>
              </w:rPr>
            </w:pPr>
          </w:p>
        </w:tc>
      </w:tr>
      <w:tr w14:paraId="12124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 w:hRule="atLeast"/>
          <w:jc w:val="center"/>
        </w:trPr>
        <w:tc>
          <w:tcPr>
            <w:tcW w:w="570" w:type="dxa"/>
            <w:vAlign w:val="center"/>
          </w:tcPr>
          <w:p w14:paraId="07C6B76F">
            <w:pPr>
              <w:pStyle w:val="26"/>
              <w:widowControl/>
              <w:autoSpaceDE w:val="0"/>
              <w:autoSpaceDN w:val="0"/>
              <w:spacing w:line="312" w:lineRule="auto"/>
              <w:jc w:val="center"/>
              <w:rPr>
                <w:kern w:val="0"/>
                <w:sz w:val="18"/>
                <w:szCs w:val="18"/>
              </w:rPr>
            </w:pPr>
            <w:r>
              <w:rPr>
                <w:kern w:val="0"/>
                <w:sz w:val="18"/>
                <w:szCs w:val="18"/>
              </w:rPr>
              <w:t>11</w:t>
            </w:r>
          </w:p>
        </w:tc>
        <w:tc>
          <w:tcPr>
            <w:tcW w:w="838" w:type="dxa"/>
            <w:vMerge w:val="continue"/>
            <w:vAlign w:val="center"/>
          </w:tcPr>
          <w:p w14:paraId="6D77C0EA">
            <w:pPr>
              <w:pStyle w:val="26"/>
              <w:widowControl/>
              <w:autoSpaceDE w:val="0"/>
              <w:autoSpaceDN w:val="0"/>
              <w:spacing w:line="312" w:lineRule="auto"/>
              <w:ind w:firstLine="360"/>
              <w:jc w:val="center"/>
              <w:rPr>
                <w:kern w:val="0"/>
                <w:sz w:val="18"/>
                <w:szCs w:val="18"/>
              </w:rPr>
            </w:pPr>
          </w:p>
        </w:tc>
        <w:tc>
          <w:tcPr>
            <w:tcW w:w="2204" w:type="dxa"/>
            <w:vAlign w:val="center"/>
          </w:tcPr>
          <w:p w14:paraId="2630B590">
            <w:pPr>
              <w:widowControl/>
              <w:spacing w:line="312" w:lineRule="auto"/>
              <w:jc w:val="center"/>
              <w:rPr>
                <w:rFonts w:ascii="Times New Roman" w:hAnsi="Times New Roman"/>
                <w:sz w:val="18"/>
                <w:szCs w:val="18"/>
              </w:rPr>
            </w:pPr>
            <w:r>
              <w:rPr>
                <w:rFonts w:ascii="Times New Roman" w:hAnsi="Times New Roman"/>
                <w:sz w:val="18"/>
                <w:szCs w:val="18"/>
              </w:rPr>
              <w:t>漂移</w:t>
            </w:r>
          </w:p>
        </w:tc>
        <w:tc>
          <w:tcPr>
            <w:tcW w:w="985" w:type="dxa"/>
            <w:vAlign w:val="center"/>
          </w:tcPr>
          <w:p w14:paraId="35B22629">
            <w:pPr>
              <w:widowControl/>
              <w:spacing w:line="312" w:lineRule="auto"/>
              <w:jc w:val="center"/>
              <w:rPr>
                <w:rFonts w:ascii="Times New Roman" w:hAnsi="Times New Roman"/>
                <w:sz w:val="18"/>
                <w:szCs w:val="18"/>
              </w:rPr>
            </w:pPr>
            <w:r>
              <w:rPr>
                <w:rFonts w:ascii="Times New Roman" w:hAnsi="Times New Roman"/>
                <w:kern w:val="0"/>
                <w:sz w:val="18"/>
                <w:szCs w:val="18"/>
              </w:rPr>
              <w:t>4.6.5</w:t>
            </w:r>
          </w:p>
        </w:tc>
        <w:tc>
          <w:tcPr>
            <w:tcW w:w="985" w:type="dxa"/>
            <w:vAlign w:val="center"/>
          </w:tcPr>
          <w:p w14:paraId="0E6ECC5D">
            <w:pPr>
              <w:widowControl/>
              <w:spacing w:line="312" w:lineRule="auto"/>
              <w:jc w:val="center"/>
              <w:rPr>
                <w:rFonts w:ascii="Times New Roman" w:hAnsi="Times New Roman"/>
                <w:sz w:val="18"/>
                <w:szCs w:val="18"/>
              </w:rPr>
            </w:pPr>
            <w:r>
              <w:rPr>
                <w:rFonts w:ascii="Times New Roman" w:hAnsi="Times New Roman"/>
                <w:kern w:val="0"/>
                <w:sz w:val="18"/>
                <w:szCs w:val="18"/>
              </w:rPr>
              <w:t>5.6.6</w:t>
            </w:r>
          </w:p>
        </w:tc>
        <w:tc>
          <w:tcPr>
            <w:tcW w:w="986" w:type="dxa"/>
            <w:vMerge w:val="continue"/>
            <w:vAlign w:val="center"/>
          </w:tcPr>
          <w:p w14:paraId="4BA2BA9D">
            <w:pPr>
              <w:pStyle w:val="26"/>
              <w:widowControl/>
              <w:autoSpaceDE w:val="0"/>
              <w:autoSpaceDN w:val="0"/>
              <w:spacing w:line="312" w:lineRule="auto"/>
              <w:ind w:firstLine="360"/>
              <w:jc w:val="center"/>
              <w:rPr>
                <w:kern w:val="0"/>
                <w:sz w:val="18"/>
                <w:szCs w:val="18"/>
              </w:rPr>
            </w:pPr>
          </w:p>
        </w:tc>
        <w:tc>
          <w:tcPr>
            <w:tcW w:w="986" w:type="dxa"/>
            <w:vMerge w:val="continue"/>
            <w:vAlign w:val="center"/>
          </w:tcPr>
          <w:p w14:paraId="3CDE0708">
            <w:pPr>
              <w:widowControl/>
              <w:spacing w:line="312" w:lineRule="auto"/>
              <w:ind w:firstLine="360"/>
              <w:jc w:val="center"/>
              <w:rPr>
                <w:rFonts w:ascii="Times New Roman" w:hAnsi="Times New Roman"/>
                <w:sz w:val="18"/>
                <w:szCs w:val="18"/>
              </w:rPr>
            </w:pPr>
          </w:p>
        </w:tc>
        <w:tc>
          <w:tcPr>
            <w:tcW w:w="986" w:type="dxa"/>
            <w:vMerge w:val="continue"/>
            <w:vAlign w:val="center"/>
          </w:tcPr>
          <w:p w14:paraId="2CC08A42">
            <w:pPr>
              <w:widowControl/>
              <w:spacing w:line="312" w:lineRule="auto"/>
              <w:ind w:firstLine="360"/>
              <w:jc w:val="center"/>
              <w:rPr>
                <w:rFonts w:ascii="Times New Roman" w:hAnsi="Times New Roman"/>
                <w:sz w:val="18"/>
                <w:szCs w:val="18"/>
              </w:rPr>
            </w:pPr>
          </w:p>
        </w:tc>
        <w:tc>
          <w:tcPr>
            <w:tcW w:w="986" w:type="dxa"/>
            <w:vMerge w:val="continue"/>
            <w:vAlign w:val="center"/>
          </w:tcPr>
          <w:p w14:paraId="7184E356">
            <w:pPr>
              <w:pStyle w:val="26"/>
              <w:widowControl/>
              <w:autoSpaceDE w:val="0"/>
              <w:autoSpaceDN w:val="0"/>
              <w:spacing w:line="312" w:lineRule="auto"/>
              <w:ind w:firstLine="360"/>
              <w:jc w:val="center"/>
              <w:rPr>
                <w:kern w:val="0"/>
                <w:sz w:val="18"/>
                <w:szCs w:val="18"/>
              </w:rPr>
            </w:pPr>
          </w:p>
        </w:tc>
      </w:tr>
      <w:tr w14:paraId="0C2A3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 w:hRule="atLeast"/>
          <w:jc w:val="center"/>
        </w:trPr>
        <w:tc>
          <w:tcPr>
            <w:tcW w:w="570" w:type="dxa"/>
            <w:vAlign w:val="center"/>
          </w:tcPr>
          <w:p w14:paraId="614205E8">
            <w:pPr>
              <w:pStyle w:val="26"/>
              <w:widowControl/>
              <w:autoSpaceDE w:val="0"/>
              <w:autoSpaceDN w:val="0"/>
              <w:spacing w:line="312" w:lineRule="auto"/>
              <w:jc w:val="center"/>
              <w:rPr>
                <w:kern w:val="0"/>
                <w:sz w:val="18"/>
                <w:szCs w:val="18"/>
              </w:rPr>
            </w:pPr>
            <w:r>
              <w:rPr>
                <w:kern w:val="0"/>
                <w:sz w:val="18"/>
                <w:szCs w:val="18"/>
              </w:rPr>
              <w:t>12</w:t>
            </w:r>
          </w:p>
        </w:tc>
        <w:tc>
          <w:tcPr>
            <w:tcW w:w="838" w:type="dxa"/>
            <w:vMerge w:val="restart"/>
            <w:vAlign w:val="center"/>
          </w:tcPr>
          <w:p w14:paraId="3CE97C15">
            <w:pPr>
              <w:pStyle w:val="26"/>
              <w:widowControl/>
              <w:autoSpaceDE w:val="0"/>
              <w:autoSpaceDN w:val="0"/>
              <w:spacing w:line="312" w:lineRule="auto"/>
              <w:jc w:val="center"/>
              <w:rPr>
                <w:kern w:val="0"/>
                <w:sz w:val="18"/>
                <w:szCs w:val="18"/>
              </w:rPr>
            </w:pPr>
            <w:r>
              <w:rPr>
                <w:kern w:val="0"/>
                <w:sz w:val="18"/>
                <w:szCs w:val="18"/>
              </w:rPr>
              <w:t>B</w:t>
            </w:r>
          </w:p>
        </w:tc>
        <w:tc>
          <w:tcPr>
            <w:tcW w:w="2204" w:type="dxa"/>
            <w:vAlign w:val="center"/>
          </w:tcPr>
          <w:p w14:paraId="644A138F">
            <w:pPr>
              <w:widowControl/>
              <w:spacing w:line="312" w:lineRule="auto"/>
              <w:jc w:val="center"/>
              <w:rPr>
                <w:rFonts w:ascii="Times New Roman" w:hAnsi="Times New Roman"/>
                <w:sz w:val="18"/>
                <w:szCs w:val="18"/>
              </w:rPr>
            </w:pPr>
            <w:r>
              <w:rPr>
                <w:rFonts w:ascii="Times New Roman" w:hAnsi="Times New Roman"/>
                <w:sz w:val="18"/>
                <w:szCs w:val="18"/>
              </w:rPr>
              <w:t>外观要求</w:t>
            </w:r>
          </w:p>
        </w:tc>
        <w:tc>
          <w:tcPr>
            <w:tcW w:w="985" w:type="dxa"/>
            <w:vAlign w:val="center"/>
          </w:tcPr>
          <w:p w14:paraId="08DD3E4D">
            <w:pPr>
              <w:widowControl/>
              <w:spacing w:line="312" w:lineRule="auto"/>
              <w:jc w:val="center"/>
              <w:rPr>
                <w:rFonts w:ascii="Times New Roman" w:hAnsi="Times New Roman"/>
                <w:sz w:val="18"/>
                <w:szCs w:val="18"/>
              </w:rPr>
            </w:pPr>
            <w:r>
              <w:rPr>
                <w:rFonts w:ascii="Times New Roman" w:hAnsi="Times New Roman"/>
                <w:sz w:val="18"/>
                <w:szCs w:val="18"/>
              </w:rPr>
              <w:t>4.2</w:t>
            </w:r>
          </w:p>
        </w:tc>
        <w:tc>
          <w:tcPr>
            <w:tcW w:w="985" w:type="dxa"/>
            <w:vAlign w:val="center"/>
          </w:tcPr>
          <w:p w14:paraId="2AABD249">
            <w:pPr>
              <w:widowControl/>
              <w:spacing w:line="312" w:lineRule="auto"/>
              <w:jc w:val="center"/>
              <w:rPr>
                <w:rFonts w:ascii="Times New Roman" w:hAnsi="Times New Roman"/>
                <w:sz w:val="18"/>
                <w:szCs w:val="18"/>
              </w:rPr>
            </w:pPr>
            <w:r>
              <w:rPr>
                <w:rFonts w:ascii="Times New Roman" w:hAnsi="Times New Roman"/>
                <w:sz w:val="18"/>
                <w:szCs w:val="18"/>
              </w:rPr>
              <w:t>5.2</w:t>
            </w:r>
          </w:p>
        </w:tc>
        <w:tc>
          <w:tcPr>
            <w:tcW w:w="986" w:type="dxa"/>
            <w:vMerge w:val="restart"/>
            <w:vAlign w:val="center"/>
          </w:tcPr>
          <w:p w14:paraId="1CAF0AD8">
            <w:pPr>
              <w:pStyle w:val="26"/>
              <w:widowControl/>
              <w:autoSpaceDE w:val="0"/>
              <w:autoSpaceDN w:val="0"/>
              <w:spacing w:line="312" w:lineRule="auto"/>
              <w:jc w:val="center"/>
              <w:rPr>
                <w:kern w:val="0"/>
                <w:sz w:val="18"/>
                <w:szCs w:val="18"/>
              </w:rPr>
            </w:pPr>
            <w:r>
              <w:rPr>
                <w:kern w:val="0"/>
                <w:sz w:val="18"/>
                <w:szCs w:val="18"/>
              </w:rPr>
              <w:t>65</w:t>
            </w:r>
          </w:p>
        </w:tc>
        <w:tc>
          <w:tcPr>
            <w:tcW w:w="986" w:type="dxa"/>
            <w:vMerge w:val="continue"/>
            <w:vAlign w:val="center"/>
          </w:tcPr>
          <w:p w14:paraId="023FCF86">
            <w:pPr>
              <w:widowControl/>
              <w:spacing w:line="312" w:lineRule="auto"/>
              <w:ind w:firstLine="360"/>
              <w:jc w:val="center"/>
              <w:rPr>
                <w:rFonts w:ascii="Times New Roman" w:hAnsi="Times New Roman"/>
                <w:sz w:val="18"/>
                <w:szCs w:val="18"/>
              </w:rPr>
            </w:pPr>
          </w:p>
        </w:tc>
        <w:tc>
          <w:tcPr>
            <w:tcW w:w="986" w:type="dxa"/>
            <w:vMerge w:val="continue"/>
            <w:vAlign w:val="center"/>
          </w:tcPr>
          <w:p w14:paraId="6508ECFE">
            <w:pPr>
              <w:widowControl/>
              <w:spacing w:line="312" w:lineRule="auto"/>
              <w:ind w:firstLine="360"/>
              <w:jc w:val="center"/>
              <w:rPr>
                <w:rFonts w:ascii="Times New Roman" w:hAnsi="Times New Roman"/>
                <w:sz w:val="18"/>
                <w:szCs w:val="18"/>
              </w:rPr>
            </w:pPr>
          </w:p>
        </w:tc>
        <w:tc>
          <w:tcPr>
            <w:tcW w:w="986" w:type="dxa"/>
            <w:vMerge w:val="restart"/>
            <w:vAlign w:val="center"/>
          </w:tcPr>
          <w:p w14:paraId="2278B7A6">
            <w:pPr>
              <w:pStyle w:val="26"/>
              <w:widowControl/>
              <w:autoSpaceDE w:val="0"/>
              <w:autoSpaceDN w:val="0"/>
              <w:spacing w:line="312" w:lineRule="auto"/>
              <w:jc w:val="center"/>
              <w:rPr>
                <w:kern w:val="0"/>
                <w:sz w:val="18"/>
                <w:szCs w:val="18"/>
              </w:rPr>
            </w:pPr>
            <w:r>
              <w:rPr>
                <w:kern w:val="0"/>
                <w:sz w:val="18"/>
                <w:szCs w:val="18"/>
              </w:rPr>
              <w:t>（1，2）</w:t>
            </w:r>
          </w:p>
        </w:tc>
      </w:tr>
      <w:tr w14:paraId="58249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 w:hRule="atLeast"/>
          <w:jc w:val="center"/>
        </w:trPr>
        <w:tc>
          <w:tcPr>
            <w:tcW w:w="570" w:type="dxa"/>
            <w:vAlign w:val="center"/>
          </w:tcPr>
          <w:p w14:paraId="49A4A55B">
            <w:pPr>
              <w:pStyle w:val="26"/>
              <w:widowControl/>
              <w:autoSpaceDE w:val="0"/>
              <w:autoSpaceDN w:val="0"/>
              <w:spacing w:line="312" w:lineRule="auto"/>
              <w:jc w:val="center"/>
              <w:rPr>
                <w:kern w:val="0"/>
                <w:sz w:val="18"/>
                <w:szCs w:val="18"/>
              </w:rPr>
            </w:pPr>
            <w:r>
              <w:rPr>
                <w:kern w:val="0"/>
                <w:sz w:val="18"/>
                <w:szCs w:val="18"/>
              </w:rPr>
              <w:t>13</w:t>
            </w:r>
          </w:p>
        </w:tc>
        <w:tc>
          <w:tcPr>
            <w:tcW w:w="838" w:type="dxa"/>
            <w:vMerge w:val="continue"/>
            <w:vAlign w:val="center"/>
          </w:tcPr>
          <w:p w14:paraId="4C686E0C">
            <w:pPr>
              <w:pStyle w:val="26"/>
              <w:widowControl/>
              <w:autoSpaceDE w:val="0"/>
              <w:autoSpaceDN w:val="0"/>
              <w:spacing w:line="312" w:lineRule="auto"/>
              <w:ind w:firstLine="360"/>
              <w:jc w:val="center"/>
              <w:rPr>
                <w:kern w:val="0"/>
                <w:sz w:val="18"/>
                <w:szCs w:val="18"/>
              </w:rPr>
            </w:pPr>
          </w:p>
        </w:tc>
        <w:tc>
          <w:tcPr>
            <w:tcW w:w="2204" w:type="dxa"/>
            <w:vAlign w:val="center"/>
          </w:tcPr>
          <w:p w14:paraId="5D52A1F7">
            <w:pPr>
              <w:widowControl/>
              <w:spacing w:line="312" w:lineRule="auto"/>
              <w:jc w:val="center"/>
              <w:rPr>
                <w:rFonts w:ascii="Times New Roman" w:hAnsi="Times New Roman"/>
                <w:sz w:val="18"/>
                <w:szCs w:val="18"/>
              </w:rPr>
            </w:pPr>
            <w:r>
              <w:rPr>
                <w:rFonts w:ascii="Times New Roman" w:hAnsi="Times New Roman"/>
                <w:sz w:val="18"/>
                <w:szCs w:val="18"/>
              </w:rPr>
              <w:t>干扰成分的影响</w:t>
            </w:r>
          </w:p>
        </w:tc>
        <w:tc>
          <w:tcPr>
            <w:tcW w:w="985" w:type="dxa"/>
            <w:vAlign w:val="center"/>
          </w:tcPr>
          <w:p w14:paraId="461C783E">
            <w:pPr>
              <w:widowControl/>
              <w:spacing w:line="312" w:lineRule="auto"/>
              <w:jc w:val="center"/>
              <w:rPr>
                <w:rFonts w:ascii="Times New Roman" w:hAnsi="Times New Roman"/>
                <w:sz w:val="18"/>
                <w:szCs w:val="18"/>
              </w:rPr>
            </w:pPr>
            <w:r>
              <w:rPr>
                <w:rFonts w:ascii="Times New Roman" w:hAnsi="Times New Roman"/>
                <w:kern w:val="0"/>
                <w:sz w:val="18"/>
                <w:szCs w:val="18"/>
              </w:rPr>
              <w:t>4.6.6</w:t>
            </w:r>
          </w:p>
        </w:tc>
        <w:tc>
          <w:tcPr>
            <w:tcW w:w="985" w:type="dxa"/>
            <w:vAlign w:val="center"/>
          </w:tcPr>
          <w:p w14:paraId="4D3DB17F">
            <w:pPr>
              <w:widowControl/>
              <w:spacing w:line="312" w:lineRule="auto"/>
              <w:jc w:val="center"/>
              <w:rPr>
                <w:rFonts w:ascii="Times New Roman" w:hAnsi="Times New Roman"/>
                <w:kern w:val="0"/>
                <w:sz w:val="18"/>
                <w:szCs w:val="18"/>
              </w:rPr>
            </w:pPr>
            <w:r>
              <w:rPr>
                <w:rFonts w:ascii="Times New Roman" w:hAnsi="Times New Roman"/>
                <w:kern w:val="0"/>
                <w:sz w:val="18"/>
                <w:szCs w:val="18"/>
              </w:rPr>
              <w:t>5.6.7</w:t>
            </w:r>
          </w:p>
        </w:tc>
        <w:tc>
          <w:tcPr>
            <w:tcW w:w="986" w:type="dxa"/>
            <w:vMerge w:val="continue"/>
            <w:vAlign w:val="center"/>
          </w:tcPr>
          <w:p w14:paraId="52CF4035">
            <w:pPr>
              <w:pStyle w:val="26"/>
              <w:widowControl/>
              <w:autoSpaceDE w:val="0"/>
              <w:autoSpaceDN w:val="0"/>
              <w:spacing w:line="312" w:lineRule="auto"/>
              <w:ind w:firstLine="360"/>
              <w:jc w:val="center"/>
              <w:rPr>
                <w:kern w:val="0"/>
                <w:sz w:val="18"/>
                <w:szCs w:val="18"/>
              </w:rPr>
            </w:pPr>
          </w:p>
        </w:tc>
        <w:tc>
          <w:tcPr>
            <w:tcW w:w="986" w:type="dxa"/>
            <w:vMerge w:val="continue"/>
            <w:vAlign w:val="center"/>
          </w:tcPr>
          <w:p w14:paraId="73DF20BF">
            <w:pPr>
              <w:widowControl/>
              <w:spacing w:line="312" w:lineRule="auto"/>
              <w:ind w:firstLine="360"/>
              <w:jc w:val="center"/>
              <w:rPr>
                <w:rFonts w:ascii="Times New Roman" w:hAnsi="Times New Roman"/>
                <w:sz w:val="18"/>
                <w:szCs w:val="18"/>
              </w:rPr>
            </w:pPr>
          </w:p>
        </w:tc>
        <w:tc>
          <w:tcPr>
            <w:tcW w:w="986" w:type="dxa"/>
            <w:vMerge w:val="continue"/>
            <w:vAlign w:val="center"/>
          </w:tcPr>
          <w:p w14:paraId="51F82404">
            <w:pPr>
              <w:widowControl/>
              <w:spacing w:line="312" w:lineRule="auto"/>
              <w:ind w:firstLine="360"/>
              <w:jc w:val="center"/>
              <w:rPr>
                <w:rFonts w:ascii="Times New Roman" w:hAnsi="Times New Roman"/>
                <w:sz w:val="18"/>
                <w:szCs w:val="18"/>
              </w:rPr>
            </w:pPr>
          </w:p>
        </w:tc>
        <w:tc>
          <w:tcPr>
            <w:tcW w:w="986" w:type="dxa"/>
            <w:vMerge w:val="continue"/>
            <w:vAlign w:val="center"/>
          </w:tcPr>
          <w:p w14:paraId="378A8532">
            <w:pPr>
              <w:pStyle w:val="26"/>
              <w:widowControl/>
              <w:autoSpaceDE w:val="0"/>
              <w:autoSpaceDN w:val="0"/>
              <w:spacing w:line="312" w:lineRule="auto"/>
              <w:ind w:firstLine="360"/>
              <w:jc w:val="center"/>
              <w:rPr>
                <w:kern w:val="0"/>
                <w:sz w:val="18"/>
                <w:szCs w:val="18"/>
              </w:rPr>
            </w:pPr>
          </w:p>
        </w:tc>
      </w:tr>
      <w:tr w14:paraId="72005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 w:hRule="atLeast"/>
          <w:jc w:val="center"/>
        </w:trPr>
        <w:tc>
          <w:tcPr>
            <w:tcW w:w="570" w:type="dxa"/>
            <w:vAlign w:val="center"/>
          </w:tcPr>
          <w:p w14:paraId="0FBC90D3">
            <w:pPr>
              <w:pStyle w:val="26"/>
              <w:widowControl/>
              <w:autoSpaceDE w:val="0"/>
              <w:autoSpaceDN w:val="0"/>
              <w:spacing w:line="312" w:lineRule="auto"/>
              <w:jc w:val="center"/>
              <w:rPr>
                <w:kern w:val="0"/>
                <w:sz w:val="18"/>
                <w:szCs w:val="18"/>
              </w:rPr>
            </w:pPr>
            <w:r>
              <w:rPr>
                <w:kern w:val="0"/>
                <w:sz w:val="18"/>
                <w:szCs w:val="18"/>
              </w:rPr>
              <w:t>14</w:t>
            </w:r>
          </w:p>
        </w:tc>
        <w:tc>
          <w:tcPr>
            <w:tcW w:w="838" w:type="dxa"/>
            <w:vMerge w:val="continue"/>
            <w:vAlign w:val="center"/>
          </w:tcPr>
          <w:p w14:paraId="500CB263">
            <w:pPr>
              <w:pStyle w:val="26"/>
              <w:widowControl/>
              <w:autoSpaceDE w:val="0"/>
              <w:autoSpaceDN w:val="0"/>
              <w:spacing w:line="312" w:lineRule="auto"/>
              <w:ind w:firstLine="360"/>
              <w:jc w:val="center"/>
              <w:rPr>
                <w:kern w:val="0"/>
                <w:sz w:val="18"/>
                <w:szCs w:val="18"/>
              </w:rPr>
            </w:pPr>
          </w:p>
        </w:tc>
        <w:tc>
          <w:tcPr>
            <w:tcW w:w="2204" w:type="dxa"/>
            <w:vAlign w:val="center"/>
          </w:tcPr>
          <w:p w14:paraId="12246199">
            <w:pPr>
              <w:widowControl/>
              <w:spacing w:line="312" w:lineRule="auto"/>
              <w:jc w:val="center"/>
              <w:rPr>
                <w:rFonts w:ascii="Times New Roman" w:hAnsi="Times New Roman"/>
                <w:sz w:val="18"/>
                <w:szCs w:val="18"/>
              </w:rPr>
            </w:pPr>
            <w:r>
              <w:rPr>
                <w:rFonts w:ascii="Times New Roman" w:hAnsi="Times New Roman"/>
                <w:sz w:val="18"/>
                <w:szCs w:val="18"/>
              </w:rPr>
              <w:t>环境适应性</w:t>
            </w:r>
          </w:p>
        </w:tc>
        <w:tc>
          <w:tcPr>
            <w:tcW w:w="985" w:type="dxa"/>
            <w:vAlign w:val="center"/>
          </w:tcPr>
          <w:p w14:paraId="18C0F810">
            <w:pPr>
              <w:widowControl/>
              <w:spacing w:line="312" w:lineRule="auto"/>
              <w:jc w:val="center"/>
              <w:rPr>
                <w:rFonts w:ascii="Times New Roman" w:hAnsi="Times New Roman"/>
                <w:kern w:val="0"/>
                <w:sz w:val="18"/>
                <w:szCs w:val="18"/>
              </w:rPr>
            </w:pPr>
            <w:r>
              <w:rPr>
                <w:rFonts w:ascii="Times New Roman" w:hAnsi="Times New Roman"/>
                <w:kern w:val="0"/>
                <w:sz w:val="18"/>
                <w:szCs w:val="18"/>
              </w:rPr>
              <w:t>4.7</w:t>
            </w:r>
          </w:p>
        </w:tc>
        <w:tc>
          <w:tcPr>
            <w:tcW w:w="985" w:type="dxa"/>
            <w:vAlign w:val="center"/>
          </w:tcPr>
          <w:p w14:paraId="3DF92A3F">
            <w:pPr>
              <w:widowControl/>
              <w:spacing w:line="312" w:lineRule="auto"/>
              <w:jc w:val="center"/>
              <w:rPr>
                <w:rFonts w:ascii="Times New Roman" w:hAnsi="Times New Roman"/>
                <w:kern w:val="0"/>
                <w:sz w:val="18"/>
                <w:szCs w:val="18"/>
              </w:rPr>
            </w:pPr>
            <w:r>
              <w:rPr>
                <w:rFonts w:ascii="Times New Roman" w:hAnsi="Times New Roman"/>
                <w:kern w:val="0"/>
                <w:sz w:val="18"/>
                <w:szCs w:val="18"/>
              </w:rPr>
              <w:t>5.7</w:t>
            </w:r>
          </w:p>
        </w:tc>
        <w:tc>
          <w:tcPr>
            <w:tcW w:w="986" w:type="dxa"/>
            <w:vMerge w:val="continue"/>
            <w:vAlign w:val="center"/>
          </w:tcPr>
          <w:p w14:paraId="1AD681B7">
            <w:pPr>
              <w:pStyle w:val="26"/>
              <w:widowControl/>
              <w:autoSpaceDE w:val="0"/>
              <w:autoSpaceDN w:val="0"/>
              <w:spacing w:line="312" w:lineRule="auto"/>
              <w:ind w:firstLine="360"/>
              <w:jc w:val="center"/>
              <w:rPr>
                <w:kern w:val="0"/>
                <w:sz w:val="18"/>
                <w:szCs w:val="18"/>
              </w:rPr>
            </w:pPr>
          </w:p>
        </w:tc>
        <w:tc>
          <w:tcPr>
            <w:tcW w:w="986" w:type="dxa"/>
            <w:vMerge w:val="continue"/>
            <w:vAlign w:val="center"/>
          </w:tcPr>
          <w:p w14:paraId="323B0041">
            <w:pPr>
              <w:widowControl/>
              <w:spacing w:line="312" w:lineRule="auto"/>
              <w:ind w:firstLine="360"/>
              <w:jc w:val="center"/>
              <w:rPr>
                <w:rFonts w:ascii="Times New Roman" w:hAnsi="Times New Roman"/>
                <w:sz w:val="18"/>
                <w:szCs w:val="18"/>
              </w:rPr>
            </w:pPr>
          </w:p>
        </w:tc>
        <w:tc>
          <w:tcPr>
            <w:tcW w:w="986" w:type="dxa"/>
            <w:vMerge w:val="continue"/>
            <w:vAlign w:val="center"/>
          </w:tcPr>
          <w:p w14:paraId="1C858EFD">
            <w:pPr>
              <w:widowControl/>
              <w:spacing w:line="312" w:lineRule="auto"/>
              <w:ind w:firstLine="360"/>
              <w:jc w:val="center"/>
              <w:rPr>
                <w:rFonts w:ascii="Times New Roman" w:hAnsi="Times New Roman"/>
                <w:sz w:val="18"/>
                <w:szCs w:val="18"/>
              </w:rPr>
            </w:pPr>
          </w:p>
        </w:tc>
        <w:tc>
          <w:tcPr>
            <w:tcW w:w="986" w:type="dxa"/>
            <w:vMerge w:val="continue"/>
            <w:vAlign w:val="center"/>
          </w:tcPr>
          <w:p w14:paraId="4ACB3D6D">
            <w:pPr>
              <w:pStyle w:val="26"/>
              <w:widowControl/>
              <w:autoSpaceDE w:val="0"/>
              <w:autoSpaceDN w:val="0"/>
              <w:spacing w:line="312" w:lineRule="auto"/>
              <w:ind w:firstLine="360"/>
              <w:jc w:val="center"/>
              <w:rPr>
                <w:kern w:val="0"/>
                <w:sz w:val="18"/>
                <w:szCs w:val="18"/>
              </w:rPr>
            </w:pPr>
          </w:p>
        </w:tc>
      </w:tr>
      <w:tr w14:paraId="11A05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 w:hRule="atLeast"/>
          <w:jc w:val="center"/>
        </w:trPr>
        <w:tc>
          <w:tcPr>
            <w:tcW w:w="570" w:type="dxa"/>
            <w:vAlign w:val="center"/>
          </w:tcPr>
          <w:p w14:paraId="130869F5">
            <w:pPr>
              <w:pStyle w:val="26"/>
              <w:widowControl/>
              <w:autoSpaceDE w:val="0"/>
              <w:autoSpaceDN w:val="0"/>
              <w:spacing w:line="312" w:lineRule="auto"/>
              <w:jc w:val="center"/>
              <w:rPr>
                <w:kern w:val="0"/>
                <w:sz w:val="18"/>
                <w:szCs w:val="18"/>
              </w:rPr>
            </w:pPr>
            <w:r>
              <w:rPr>
                <w:kern w:val="0"/>
                <w:sz w:val="18"/>
                <w:szCs w:val="18"/>
              </w:rPr>
              <w:t>15</w:t>
            </w:r>
          </w:p>
        </w:tc>
        <w:tc>
          <w:tcPr>
            <w:tcW w:w="838" w:type="dxa"/>
            <w:vMerge w:val="continue"/>
            <w:vAlign w:val="center"/>
          </w:tcPr>
          <w:p w14:paraId="44D58FC8">
            <w:pPr>
              <w:pStyle w:val="26"/>
              <w:widowControl/>
              <w:autoSpaceDE w:val="0"/>
              <w:autoSpaceDN w:val="0"/>
              <w:spacing w:line="312" w:lineRule="auto"/>
              <w:ind w:firstLine="360"/>
              <w:jc w:val="center"/>
              <w:rPr>
                <w:kern w:val="0"/>
                <w:sz w:val="18"/>
                <w:szCs w:val="18"/>
              </w:rPr>
            </w:pPr>
          </w:p>
        </w:tc>
        <w:tc>
          <w:tcPr>
            <w:tcW w:w="2204" w:type="dxa"/>
            <w:vAlign w:val="center"/>
          </w:tcPr>
          <w:p w14:paraId="4FF9B2D6">
            <w:pPr>
              <w:widowControl/>
              <w:spacing w:line="312" w:lineRule="auto"/>
              <w:jc w:val="center"/>
              <w:rPr>
                <w:rFonts w:ascii="Times New Roman" w:hAnsi="Times New Roman"/>
                <w:sz w:val="18"/>
                <w:szCs w:val="18"/>
              </w:rPr>
            </w:pPr>
            <w:r>
              <w:rPr>
                <w:rFonts w:ascii="Times New Roman" w:hAnsi="Times New Roman"/>
                <w:sz w:val="18"/>
                <w:szCs w:val="18"/>
              </w:rPr>
              <w:t>电磁兼容</w:t>
            </w:r>
          </w:p>
        </w:tc>
        <w:tc>
          <w:tcPr>
            <w:tcW w:w="985" w:type="dxa"/>
            <w:vAlign w:val="center"/>
          </w:tcPr>
          <w:p w14:paraId="394EAB03">
            <w:pPr>
              <w:widowControl/>
              <w:spacing w:line="312" w:lineRule="auto"/>
              <w:jc w:val="center"/>
              <w:rPr>
                <w:rFonts w:ascii="Times New Roman" w:hAnsi="Times New Roman"/>
                <w:kern w:val="0"/>
                <w:sz w:val="18"/>
                <w:szCs w:val="18"/>
              </w:rPr>
            </w:pPr>
            <w:r>
              <w:rPr>
                <w:rFonts w:ascii="Times New Roman" w:hAnsi="Times New Roman"/>
                <w:kern w:val="0"/>
                <w:sz w:val="18"/>
                <w:szCs w:val="18"/>
              </w:rPr>
              <w:t>4.8</w:t>
            </w:r>
          </w:p>
        </w:tc>
        <w:tc>
          <w:tcPr>
            <w:tcW w:w="985" w:type="dxa"/>
            <w:vAlign w:val="center"/>
          </w:tcPr>
          <w:p w14:paraId="1A0361D1">
            <w:pPr>
              <w:widowControl/>
              <w:spacing w:line="312" w:lineRule="auto"/>
              <w:jc w:val="center"/>
              <w:rPr>
                <w:rFonts w:ascii="Times New Roman" w:hAnsi="Times New Roman"/>
                <w:kern w:val="0"/>
                <w:sz w:val="18"/>
                <w:szCs w:val="18"/>
              </w:rPr>
            </w:pPr>
            <w:r>
              <w:rPr>
                <w:rFonts w:ascii="Times New Roman" w:hAnsi="Times New Roman"/>
                <w:kern w:val="0"/>
                <w:sz w:val="18"/>
                <w:szCs w:val="18"/>
              </w:rPr>
              <w:t>5.8</w:t>
            </w:r>
          </w:p>
        </w:tc>
        <w:tc>
          <w:tcPr>
            <w:tcW w:w="986" w:type="dxa"/>
            <w:vMerge w:val="continue"/>
            <w:vAlign w:val="center"/>
          </w:tcPr>
          <w:p w14:paraId="0ECC4C98">
            <w:pPr>
              <w:pStyle w:val="26"/>
              <w:widowControl/>
              <w:autoSpaceDE w:val="0"/>
              <w:autoSpaceDN w:val="0"/>
              <w:spacing w:line="312" w:lineRule="auto"/>
              <w:ind w:firstLine="360"/>
              <w:jc w:val="center"/>
              <w:rPr>
                <w:kern w:val="0"/>
                <w:sz w:val="18"/>
                <w:szCs w:val="18"/>
              </w:rPr>
            </w:pPr>
          </w:p>
        </w:tc>
        <w:tc>
          <w:tcPr>
            <w:tcW w:w="986" w:type="dxa"/>
            <w:vMerge w:val="continue"/>
            <w:vAlign w:val="center"/>
          </w:tcPr>
          <w:p w14:paraId="4EA32980">
            <w:pPr>
              <w:widowControl/>
              <w:spacing w:line="312" w:lineRule="auto"/>
              <w:ind w:firstLine="360"/>
              <w:jc w:val="center"/>
              <w:rPr>
                <w:rFonts w:ascii="Times New Roman" w:hAnsi="Times New Roman"/>
                <w:sz w:val="18"/>
                <w:szCs w:val="18"/>
              </w:rPr>
            </w:pPr>
          </w:p>
        </w:tc>
        <w:tc>
          <w:tcPr>
            <w:tcW w:w="986" w:type="dxa"/>
            <w:vMerge w:val="continue"/>
            <w:vAlign w:val="center"/>
          </w:tcPr>
          <w:p w14:paraId="647BFBE0">
            <w:pPr>
              <w:widowControl/>
              <w:spacing w:line="312" w:lineRule="auto"/>
              <w:ind w:firstLine="360"/>
              <w:jc w:val="center"/>
              <w:rPr>
                <w:rFonts w:ascii="Times New Roman" w:hAnsi="Times New Roman"/>
                <w:sz w:val="18"/>
                <w:szCs w:val="18"/>
              </w:rPr>
            </w:pPr>
          </w:p>
        </w:tc>
        <w:tc>
          <w:tcPr>
            <w:tcW w:w="986" w:type="dxa"/>
            <w:vMerge w:val="continue"/>
            <w:vAlign w:val="center"/>
          </w:tcPr>
          <w:p w14:paraId="037A9B31">
            <w:pPr>
              <w:pStyle w:val="26"/>
              <w:widowControl/>
              <w:autoSpaceDE w:val="0"/>
              <w:autoSpaceDN w:val="0"/>
              <w:spacing w:line="312" w:lineRule="auto"/>
              <w:ind w:firstLine="360"/>
              <w:jc w:val="center"/>
              <w:rPr>
                <w:kern w:val="0"/>
                <w:sz w:val="18"/>
                <w:szCs w:val="18"/>
              </w:rPr>
            </w:pPr>
          </w:p>
        </w:tc>
      </w:tr>
      <w:tr w14:paraId="4B802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 w:hRule="atLeast"/>
          <w:jc w:val="center"/>
        </w:trPr>
        <w:tc>
          <w:tcPr>
            <w:tcW w:w="570" w:type="dxa"/>
            <w:vAlign w:val="center"/>
          </w:tcPr>
          <w:p w14:paraId="508E9DA3">
            <w:pPr>
              <w:pStyle w:val="26"/>
              <w:widowControl/>
              <w:autoSpaceDE w:val="0"/>
              <w:autoSpaceDN w:val="0"/>
              <w:spacing w:line="312" w:lineRule="auto"/>
              <w:jc w:val="center"/>
              <w:rPr>
                <w:kern w:val="0"/>
                <w:sz w:val="18"/>
                <w:szCs w:val="18"/>
              </w:rPr>
            </w:pPr>
            <w:r>
              <w:rPr>
                <w:kern w:val="0"/>
                <w:sz w:val="18"/>
                <w:szCs w:val="18"/>
              </w:rPr>
              <w:t>16</w:t>
            </w:r>
          </w:p>
        </w:tc>
        <w:tc>
          <w:tcPr>
            <w:tcW w:w="838" w:type="dxa"/>
            <w:vMerge w:val="continue"/>
            <w:vAlign w:val="center"/>
          </w:tcPr>
          <w:p w14:paraId="0A424950">
            <w:pPr>
              <w:pStyle w:val="26"/>
              <w:widowControl/>
              <w:autoSpaceDE w:val="0"/>
              <w:autoSpaceDN w:val="0"/>
              <w:spacing w:line="312" w:lineRule="auto"/>
              <w:ind w:firstLine="360"/>
              <w:jc w:val="center"/>
              <w:rPr>
                <w:kern w:val="0"/>
                <w:sz w:val="18"/>
                <w:szCs w:val="18"/>
              </w:rPr>
            </w:pPr>
          </w:p>
        </w:tc>
        <w:tc>
          <w:tcPr>
            <w:tcW w:w="2204" w:type="dxa"/>
            <w:vAlign w:val="center"/>
          </w:tcPr>
          <w:p w14:paraId="2C034666">
            <w:pPr>
              <w:widowControl/>
              <w:spacing w:line="312" w:lineRule="auto"/>
              <w:jc w:val="center"/>
              <w:rPr>
                <w:rFonts w:ascii="Times New Roman" w:hAnsi="Times New Roman"/>
                <w:sz w:val="18"/>
                <w:szCs w:val="18"/>
              </w:rPr>
            </w:pPr>
            <w:r>
              <w:rPr>
                <w:rFonts w:ascii="Times New Roman" w:hAnsi="Times New Roman"/>
                <w:sz w:val="18"/>
                <w:szCs w:val="18"/>
              </w:rPr>
              <w:t>仪器的运输、贮存</w:t>
            </w:r>
          </w:p>
        </w:tc>
        <w:tc>
          <w:tcPr>
            <w:tcW w:w="985" w:type="dxa"/>
            <w:vAlign w:val="center"/>
          </w:tcPr>
          <w:p w14:paraId="14B083B6">
            <w:pPr>
              <w:widowControl/>
              <w:spacing w:line="312" w:lineRule="auto"/>
              <w:jc w:val="center"/>
              <w:rPr>
                <w:rFonts w:ascii="Times New Roman" w:hAnsi="Times New Roman"/>
                <w:sz w:val="18"/>
                <w:szCs w:val="18"/>
              </w:rPr>
            </w:pPr>
            <w:r>
              <w:rPr>
                <w:rFonts w:ascii="Times New Roman" w:hAnsi="Times New Roman"/>
                <w:kern w:val="0"/>
                <w:sz w:val="18"/>
                <w:szCs w:val="18"/>
              </w:rPr>
              <w:t>4.9</w:t>
            </w:r>
          </w:p>
        </w:tc>
        <w:tc>
          <w:tcPr>
            <w:tcW w:w="985" w:type="dxa"/>
            <w:vAlign w:val="center"/>
          </w:tcPr>
          <w:p w14:paraId="52B989A0">
            <w:pPr>
              <w:widowControl/>
              <w:spacing w:line="312" w:lineRule="auto"/>
              <w:jc w:val="center"/>
              <w:rPr>
                <w:rFonts w:ascii="Times New Roman" w:hAnsi="Times New Roman"/>
                <w:sz w:val="18"/>
                <w:szCs w:val="18"/>
              </w:rPr>
            </w:pPr>
            <w:r>
              <w:rPr>
                <w:rFonts w:ascii="Times New Roman" w:hAnsi="Times New Roman"/>
                <w:kern w:val="0"/>
                <w:sz w:val="18"/>
                <w:szCs w:val="18"/>
              </w:rPr>
              <w:t>5.9</w:t>
            </w:r>
          </w:p>
        </w:tc>
        <w:tc>
          <w:tcPr>
            <w:tcW w:w="986" w:type="dxa"/>
            <w:vMerge w:val="continue"/>
            <w:vAlign w:val="center"/>
          </w:tcPr>
          <w:p w14:paraId="32E194EB">
            <w:pPr>
              <w:pStyle w:val="26"/>
              <w:widowControl/>
              <w:autoSpaceDE w:val="0"/>
              <w:autoSpaceDN w:val="0"/>
              <w:spacing w:line="312" w:lineRule="auto"/>
              <w:ind w:firstLine="360"/>
              <w:jc w:val="center"/>
              <w:rPr>
                <w:kern w:val="0"/>
                <w:sz w:val="18"/>
                <w:szCs w:val="18"/>
              </w:rPr>
            </w:pPr>
          </w:p>
        </w:tc>
        <w:tc>
          <w:tcPr>
            <w:tcW w:w="986" w:type="dxa"/>
            <w:vMerge w:val="continue"/>
            <w:vAlign w:val="center"/>
          </w:tcPr>
          <w:p w14:paraId="131AD464">
            <w:pPr>
              <w:widowControl/>
              <w:spacing w:line="312" w:lineRule="auto"/>
              <w:ind w:firstLine="360"/>
              <w:jc w:val="center"/>
              <w:rPr>
                <w:rFonts w:ascii="Times New Roman" w:hAnsi="Times New Roman"/>
                <w:sz w:val="18"/>
                <w:szCs w:val="18"/>
              </w:rPr>
            </w:pPr>
          </w:p>
        </w:tc>
        <w:tc>
          <w:tcPr>
            <w:tcW w:w="986" w:type="dxa"/>
            <w:vMerge w:val="continue"/>
            <w:vAlign w:val="center"/>
          </w:tcPr>
          <w:p w14:paraId="0752ABB7">
            <w:pPr>
              <w:widowControl/>
              <w:spacing w:line="312" w:lineRule="auto"/>
              <w:ind w:firstLine="360"/>
              <w:jc w:val="center"/>
              <w:rPr>
                <w:rFonts w:ascii="Times New Roman" w:hAnsi="Times New Roman"/>
                <w:sz w:val="18"/>
                <w:szCs w:val="18"/>
              </w:rPr>
            </w:pPr>
          </w:p>
        </w:tc>
        <w:tc>
          <w:tcPr>
            <w:tcW w:w="986" w:type="dxa"/>
            <w:vMerge w:val="continue"/>
            <w:vAlign w:val="center"/>
          </w:tcPr>
          <w:p w14:paraId="0992457B">
            <w:pPr>
              <w:pStyle w:val="26"/>
              <w:widowControl/>
              <w:autoSpaceDE w:val="0"/>
              <w:autoSpaceDN w:val="0"/>
              <w:spacing w:line="312" w:lineRule="auto"/>
              <w:ind w:firstLine="360"/>
              <w:jc w:val="center"/>
              <w:rPr>
                <w:kern w:val="0"/>
                <w:sz w:val="18"/>
                <w:szCs w:val="18"/>
              </w:rPr>
            </w:pPr>
          </w:p>
        </w:tc>
      </w:tr>
    </w:tbl>
    <w:p w14:paraId="46162007">
      <w:pPr>
        <w:pStyle w:val="246"/>
        <w:numPr>
          <w:ilvl w:val="0"/>
          <w:numId w:val="0"/>
        </w:numPr>
        <w:rPr>
          <w:rFonts w:ascii="Times New Roman" w:hAnsi="Times New Roman"/>
        </w:rPr>
      </w:pPr>
      <w:r>
        <w:rPr>
          <w:rFonts w:hint="eastAsia" w:ascii="黑体" w:hAnsi="黑体" w:eastAsia="黑体" w:cs="黑体"/>
        </w:rPr>
        <w:t>6.3.4</w:t>
      </w:r>
      <w:r>
        <w:rPr>
          <w:rFonts w:ascii="Times New Roman" w:hAnsi="Times New Roman"/>
        </w:rPr>
        <w:t>若型式检验不合格，应分析原因，采取纠正措施，验证有效后，重新提交检验。若型式检验再次不合格，则对进行抽样的该批产品应停止出厂，再重复上述分析、纠正、验证、重新提交的步骤，直至合格为止。</w:t>
      </w:r>
    </w:p>
    <w:p w14:paraId="59D778D2">
      <w:pPr>
        <w:pStyle w:val="246"/>
        <w:numPr>
          <w:ilvl w:val="0"/>
          <w:numId w:val="0"/>
        </w:numPr>
        <w:rPr>
          <w:rFonts w:ascii="Times New Roman" w:hAnsi="Times New Roman"/>
        </w:rPr>
      </w:pPr>
      <w:r>
        <w:rPr>
          <w:rFonts w:hint="eastAsia" w:ascii="黑体" w:hAnsi="黑体" w:eastAsia="黑体" w:cs="黑体"/>
        </w:rPr>
        <w:t>6.3.5</w:t>
      </w:r>
      <w:r>
        <w:rPr>
          <w:rFonts w:ascii="Times New Roman" w:hAnsi="Times New Roman"/>
        </w:rPr>
        <w:t>若型式检验合格，对进行抽样的该批产品可以提交鉴定、定型或出厂、入库。</w:t>
      </w:r>
    </w:p>
    <w:p w14:paraId="3A42E6AF">
      <w:pPr>
        <w:pStyle w:val="237"/>
        <w:rPr>
          <w:rFonts w:ascii="Times New Roman" w:hAnsi="Times New Roman"/>
        </w:rPr>
      </w:pPr>
      <w:bookmarkStart w:id="85" w:name="_Toc380483391"/>
      <w:bookmarkEnd w:id="85"/>
      <w:bookmarkStart w:id="86" w:name="_Toc397674261"/>
      <w:bookmarkEnd w:id="86"/>
      <w:bookmarkStart w:id="87" w:name="_Toc397673993"/>
      <w:bookmarkEnd w:id="87"/>
      <w:bookmarkStart w:id="88" w:name="_Toc398365782"/>
      <w:bookmarkEnd w:id="88"/>
      <w:bookmarkStart w:id="89" w:name="_Toc397673573"/>
      <w:bookmarkEnd w:id="89"/>
      <w:bookmarkStart w:id="90" w:name="_Toc413492263"/>
      <w:bookmarkEnd w:id="90"/>
      <w:bookmarkStart w:id="91" w:name="_Toc413492295"/>
      <w:bookmarkEnd w:id="91"/>
      <w:bookmarkStart w:id="92" w:name="_Toc413338236"/>
      <w:bookmarkEnd w:id="92"/>
      <w:bookmarkStart w:id="93" w:name="_Toc397673635"/>
      <w:bookmarkEnd w:id="93"/>
      <w:bookmarkStart w:id="94" w:name="_Toc397674195"/>
      <w:bookmarkEnd w:id="94"/>
      <w:bookmarkStart w:id="95" w:name="_Toc413338310"/>
      <w:bookmarkEnd w:id="95"/>
      <w:bookmarkStart w:id="96" w:name="_Toc397674046"/>
      <w:bookmarkEnd w:id="96"/>
      <w:bookmarkStart w:id="97" w:name="_Toc397674303"/>
      <w:bookmarkEnd w:id="97"/>
      <w:bookmarkStart w:id="98" w:name="_Toc413655328"/>
      <w:bookmarkEnd w:id="98"/>
      <w:bookmarkStart w:id="99" w:name="_Toc342033199"/>
      <w:bookmarkEnd w:id="99"/>
      <w:bookmarkStart w:id="100" w:name="_Toc413338217"/>
      <w:bookmarkEnd w:id="100"/>
      <w:bookmarkStart w:id="101" w:name="_Toc398550421"/>
      <w:bookmarkEnd w:id="101"/>
      <w:bookmarkStart w:id="102" w:name="_Toc413655710"/>
      <w:r>
        <w:rPr>
          <w:rFonts w:ascii="Times New Roman" w:hAnsi="Times New Roman"/>
        </w:rPr>
        <w:t>标志</w:t>
      </w:r>
      <w:bookmarkEnd w:id="102"/>
      <w:r>
        <w:rPr>
          <w:rFonts w:ascii="Times New Roman" w:hAnsi="Times New Roman"/>
        </w:rPr>
        <w:t>、包装</w:t>
      </w:r>
    </w:p>
    <w:p w14:paraId="33988B9C">
      <w:pPr>
        <w:pStyle w:val="236"/>
        <w:numPr>
          <w:ilvl w:val="1"/>
          <w:numId w:val="40"/>
        </w:numPr>
        <w:rPr>
          <w:rFonts w:ascii="Times New Roman" w:hAnsi="Times New Roman"/>
        </w:rPr>
      </w:pPr>
      <w:bookmarkStart w:id="103" w:name="_Toc413655711"/>
      <w:bookmarkEnd w:id="103"/>
      <w:r>
        <w:rPr>
          <w:rFonts w:ascii="Times New Roman" w:hAnsi="Times New Roman"/>
        </w:rPr>
        <w:t>标志</w:t>
      </w:r>
    </w:p>
    <w:p w14:paraId="7E30B6CF">
      <w:pPr>
        <w:pStyle w:val="238"/>
        <w:numPr>
          <w:ilvl w:val="2"/>
          <w:numId w:val="40"/>
        </w:numPr>
        <w:spacing w:before="120" w:after="120"/>
        <w:rPr>
          <w:rFonts w:ascii="Times New Roman" w:hAnsi="Times New Roman"/>
        </w:rPr>
      </w:pPr>
      <w:bookmarkStart w:id="104" w:name="_Toc413338312"/>
      <w:bookmarkEnd w:id="104"/>
      <w:r>
        <w:rPr>
          <w:rFonts w:ascii="Times New Roman" w:hAnsi="Times New Roman"/>
        </w:rPr>
        <w:t>仪器的标志</w:t>
      </w:r>
    </w:p>
    <w:p w14:paraId="2DE22CEB">
      <w:pPr>
        <w:pStyle w:val="234"/>
        <w:spacing w:line="312" w:lineRule="auto"/>
        <w:rPr>
          <w:rFonts w:ascii="Times New Roman"/>
        </w:rPr>
      </w:pPr>
      <w:r>
        <w:rPr>
          <w:rFonts w:ascii="Times New Roman"/>
        </w:rPr>
        <w:t>仪器应在适当的位置粘贴铭牌，铭牌应具有以下内容：</w:t>
      </w:r>
    </w:p>
    <w:p w14:paraId="58E207D0">
      <w:pPr>
        <w:widowControl/>
        <w:numPr>
          <w:ilvl w:val="0"/>
          <w:numId w:val="41"/>
        </w:numPr>
        <w:adjustRightInd/>
        <w:spacing w:line="312" w:lineRule="auto"/>
        <w:ind w:firstLine="420" w:firstLineChars="200"/>
        <w:rPr>
          <w:rFonts w:ascii="Times New Roman" w:hAnsi="Times New Roman"/>
          <w:kern w:val="0"/>
        </w:rPr>
      </w:pPr>
      <w:r>
        <w:rPr>
          <w:rFonts w:ascii="Times New Roman" w:hAnsi="Times New Roman"/>
          <w:kern w:val="0"/>
        </w:rPr>
        <w:t>仪器名称、型号、测量组分及量程；</w:t>
      </w:r>
    </w:p>
    <w:p w14:paraId="7252AB99">
      <w:pPr>
        <w:widowControl/>
        <w:numPr>
          <w:ilvl w:val="0"/>
          <w:numId w:val="41"/>
        </w:numPr>
        <w:adjustRightInd/>
        <w:spacing w:line="312" w:lineRule="auto"/>
        <w:ind w:firstLine="420" w:firstLineChars="200"/>
        <w:rPr>
          <w:rFonts w:ascii="Times New Roman" w:hAnsi="Times New Roman"/>
          <w:kern w:val="0"/>
        </w:rPr>
      </w:pPr>
      <w:r>
        <w:rPr>
          <w:rFonts w:ascii="Times New Roman" w:hAnsi="Times New Roman"/>
          <w:kern w:val="0"/>
        </w:rPr>
        <w:t>额定工作电压、频率、功率；</w:t>
      </w:r>
    </w:p>
    <w:p w14:paraId="688E0224">
      <w:pPr>
        <w:widowControl/>
        <w:numPr>
          <w:ilvl w:val="0"/>
          <w:numId w:val="41"/>
        </w:numPr>
        <w:adjustRightInd/>
        <w:spacing w:line="312" w:lineRule="auto"/>
        <w:ind w:firstLine="420" w:firstLineChars="200"/>
        <w:rPr>
          <w:rFonts w:ascii="Times New Roman" w:hAnsi="Times New Roman"/>
          <w:kern w:val="0"/>
        </w:rPr>
      </w:pPr>
      <w:r>
        <w:rPr>
          <w:rFonts w:ascii="Times New Roman" w:hAnsi="Times New Roman"/>
          <w:kern w:val="0"/>
        </w:rPr>
        <w:t>制造厂名称、地址；</w:t>
      </w:r>
    </w:p>
    <w:p w14:paraId="2AF51F22">
      <w:pPr>
        <w:widowControl/>
        <w:numPr>
          <w:ilvl w:val="0"/>
          <w:numId w:val="41"/>
        </w:numPr>
        <w:adjustRightInd/>
        <w:spacing w:line="312" w:lineRule="auto"/>
        <w:ind w:firstLine="420" w:firstLineChars="200"/>
        <w:rPr>
          <w:rFonts w:ascii="Times New Roman" w:hAnsi="Times New Roman"/>
          <w:kern w:val="0"/>
        </w:rPr>
      </w:pPr>
      <w:r>
        <w:rPr>
          <w:rFonts w:ascii="Times New Roman" w:hAnsi="Times New Roman"/>
          <w:kern w:val="0"/>
        </w:rPr>
        <w:t>商标；</w:t>
      </w:r>
    </w:p>
    <w:p w14:paraId="18B81F17">
      <w:pPr>
        <w:widowControl/>
        <w:numPr>
          <w:ilvl w:val="0"/>
          <w:numId w:val="41"/>
        </w:numPr>
        <w:adjustRightInd/>
        <w:spacing w:line="312" w:lineRule="auto"/>
        <w:ind w:firstLine="420" w:firstLineChars="200"/>
        <w:rPr>
          <w:rFonts w:ascii="Times New Roman" w:hAnsi="Times New Roman"/>
          <w:kern w:val="0"/>
        </w:rPr>
      </w:pPr>
      <w:r>
        <w:rPr>
          <w:rFonts w:ascii="Times New Roman" w:hAnsi="Times New Roman"/>
          <w:kern w:val="0"/>
        </w:rPr>
        <w:t>制造日期、出厂编号；</w:t>
      </w:r>
    </w:p>
    <w:p w14:paraId="6A8D709F">
      <w:pPr>
        <w:widowControl/>
        <w:numPr>
          <w:ilvl w:val="0"/>
          <w:numId w:val="41"/>
        </w:numPr>
        <w:adjustRightInd/>
        <w:spacing w:line="312" w:lineRule="auto"/>
        <w:ind w:firstLine="420" w:firstLineChars="200"/>
        <w:rPr>
          <w:rFonts w:ascii="Times New Roman" w:hAnsi="Times New Roman"/>
          <w:kern w:val="0"/>
        </w:rPr>
      </w:pPr>
      <w:r>
        <w:rPr>
          <w:rFonts w:ascii="Times New Roman" w:hAnsi="Times New Roman"/>
          <w:kern w:val="0"/>
        </w:rPr>
        <w:t>其他必要的标志。</w:t>
      </w:r>
    </w:p>
    <w:p w14:paraId="4F26779A">
      <w:pPr>
        <w:pStyle w:val="238"/>
        <w:numPr>
          <w:ilvl w:val="2"/>
          <w:numId w:val="40"/>
        </w:numPr>
        <w:spacing w:before="120" w:after="120"/>
        <w:rPr>
          <w:rFonts w:ascii="Times New Roman" w:hAnsi="Times New Roman"/>
        </w:rPr>
      </w:pPr>
      <w:bookmarkStart w:id="105" w:name="_Toc178846233"/>
      <w:bookmarkEnd w:id="105"/>
      <w:bookmarkStart w:id="106" w:name="_Toc413338313"/>
      <w:r>
        <w:rPr>
          <w:rFonts w:ascii="Times New Roman" w:hAnsi="Times New Roman"/>
        </w:rPr>
        <w:t>包装</w:t>
      </w:r>
      <w:bookmarkEnd w:id="106"/>
      <w:r>
        <w:rPr>
          <w:rFonts w:ascii="Times New Roman" w:hAnsi="Times New Roman"/>
        </w:rPr>
        <w:t>箱的标志</w:t>
      </w:r>
    </w:p>
    <w:p w14:paraId="11C721BF">
      <w:pPr>
        <w:pStyle w:val="234"/>
        <w:spacing w:line="312" w:lineRule="auto"/>
        <w:rPr>
          <w:rFonts w:ascii="Times New Roman"/>
        </w:rPr>
      </w:pPr>
      <w:r>
        <w:rPr>
          <w:rFonts w:ascii="Times New Roman"/>
        </w:rPr>
        <w:t>仪器包装应具有以下内容：</w:t>
      </w:r>
    </w:p>
    <w:p w14:paraId="1F6644DA">
      <w:pPr>
        <w:widowControl/>
        <w:numPr>
          <w:ilvl w:val="0"/>
          <w:numId w:val="42"/>
        </w:numPr>
        <w:adjustRightInd/>
        <w:spacing w:line="312" w:lineRule="auto"/>
        <w:ind w:firstLine="420" w:firstLineChars="200"/>
        <w:rPr>
          <w:rFonts w:ascii="Times New Roman" w:hAnsi="Times New Roman"/>
          <w:kern w:val="0"/>
        </w:rPr>
      </w:pPr>
      <w:r>
        <w:rPr>
          <w:rFonts w:ascii="Times New Roman" w:hAnsi="Times New Roman"/>
          <w:kern w:val="0"/>
        </w:rPr>
        <w:t>仪器名称及型号；</w:t>
      </w:r>
    </w:p>
    <w:p w14:paraId="316C15F8">
      <w:pPr>
        <w:widowControl/>
        <w:numPr>
          <w:ilvl w:val="0"/>
          <w:numId w:val="42"/>
        </w:numPr>
        <w:adjustRightInd/>
        <w:spacing w:line="312" w:lineRule="auto"/>
        <w:ind w:firstLine="420" w:firstLineChars="200"/>
        <w:rPr>
          <w:rFonts w:ascii="Times New Roman" w:hAnsi="Times New Roman"/>
          <w:kern w:val="0"/>
        </w:rPr>
      </w:pPr>
      <w:r>
        <w:rPr>
          <w:rFonts w:ascii="Times New Roman" w:hAnsi="Times New Roman"/>
          <w:kern w:val="0"/>
        </w:rPr>
        <w:t>制造厂名称及地址；</w:t>
      </w:r>
    </w:p>
    <w:p w14:paraId="1A939C78">
      <w:pPr>
        <w:widowControl/>
        <w:numPr>
          <w:ilvl w:val="0"/>
          <w:numId w:val="42"/>
        </w:numPr>
        <w:adjustRightInd/>
        <w:spacing w:line="312" w:lineRule="auto"/>
        <w:ind w:firstLine="420" w:firstLineChars="200"/>
        <w:rPr>
          <w:rFonts w:ascii="Times New Roman" w:hAnsi="Times New Roman"/>
          <w:kern w:val="0"/>
        </w:rPr>
      </w:pPr>
      <w:r>
        <w:rPr>
          <w:rFonts w:ascii="Times New Roman" w:hAnsi="Times New Roman"/>
          <w:kern w:val="0"/>
        </w:rPr>
        <w:t>商标；</w:t>
      </w:r>
    </w:p>
    <w:p w14:paraId="2BE6651D">
      <w:pPr>
        <w:widowControl/>
        <w:numPr>
          <w:ilvl w:val="0"/>
          <w:numId w:val="42"/>
        </w:numPr>
        <w:adjustRightInd/>
        <w:spacing w:line="312" w:lineRule="auto"/>
        <w:ind w:firstLine="420" w:firstLineChars="200"/>
        <w:rPr>
          <w:rFonts w:ascii="Times New Roman" w:hAnsi="Times New Roman"/>
          <w:kern w:val="0"/>
        </w:rPr>
      </w:pPr>
      <w:r>
        <w:rPr>
          <w:rFonts w:ascii="Times New Roman" w:hAnsi="Times New Roman"/>
          <w:kern w:val="0"/>
        </w:rPr>
        <w:t>仪器净重和毛重，单位为千克（kg）；</w:t>
      </w:r>
    </w:p>
    <w:p w14:paraId="40C1C1E2">
      <w:pPr>
        <w:widowControl/>
        <w:numPr>
          <w:ilvl w:val="0"/>
          <w:numId w:val="42"/>
        </w:numPr>
        <w:adjustRightInd/>
        <w:spacing w:line="312" w:lineRule="auto"/>
        <w:ind w:firstLine="420" w:firstLineChars="200"/>
        <w:rPr>
          <w:rFonts w:ascii="Times New Roman" w:hAnsi="Times New Roman"/>
          <w:kern w:val="0"/>
        </w:rPr>
      </w:pPr>
      <w:r>
        <w:rPr>
          <w:rFonts w:ascii="Times New Roman" w:hAnsi="Times New Roman"/>
          <w:kern w:val="0"/>
        </w:rPr>
        <w:t>外形尺寸为：长×宽×高，单位为毫米（mm）；</w:t>
      </w:r>
    </w:p>
    <w:p w14:paraId="6437C55B">
      <w:pPr>
        <w:widowControl/>
        <w:numPr>
          <w:ilvl w:val="0"/>
          <w:numId w:val="42"/>
        </w:numPr>
        <w:adjustRightInd/>
        <w:spacing w:line="312" w:lineRule="auto"/>
        <w:ind w:firstLine="420" w:firstLineChars="200"/>
        <w:rPr>
          <w:rFonts w:ascii="Times New Roman" w:hAnsi="Times New Roman"/>
          <w:kern w:val="0"/>
        </w:rPr>
      </w:pPr>
      <w:r>
        <w:rPr>
          <w:rFonts w:ascii="Times New Roman" w:hAnsi="Times New Roman"/>
          <w:kern w:val="0"/>
        </w:rPr>
        <w:t>包装储运图示标志：“易碎物品”、“向上”、“怕雨”等应符合 GB/T 191—2008 规定。</w:t>
      </w:r>
    </w:p>
    <w:p w14:paraId="4A9B0E1F">
      <w:pPr>
        <w:pStyle w:val="236"/>
        <w:numPr>
          <w:ilvl w:val="1"/>
          <w:numId w:val="40"/>
        </w:numPr>
        <w:rPr>
          <w:rFonts w:ascii="Times New Roman" w:hAnsi="Times New Roman"/>
        </w:rPr>
      </w:pPr>
      <w:bookmarkStart w:id="107" w:name="_Toc413655712"/>
      <w:bookmarkEnd w:id="107"/>
      <w:r>
        <w:rPr>
          <w:rFonts w:ascii="Times New Roman" w:hAnsi="Times New Roman"/>
        </w:rPr>
        <w:t>包装</w:t>
      </w:r>
    </w:p>
    <w:p w14:paraId="3979A1D7">
      <w:pPr>
        <w:pStyle w:val="238"/>
        <w:numPr>
          <w:ilvl w:val="2"/>
          <w:numId w:val="40"/>
        </w:numPr>
        <w:spacing w:before="120" w:after="120"/>
        <w:rPr>
          <w:rFonts w:ascii="Times New Roman" w:hAnsi="Times New Roman"/>
        </w:rPr>
      </w:pPr>
      <w:bookmarkStart w:id="108" w:name="_Toc413338315"/>
      <w:bookmarkEnd w:id="108"/>
      <w:r>
        <w:rPr>
          <w:rFonts w:ascii="Times New Roman" w:hAnsi="Times New Roman"/>
        </w:rPr>
        <w:t>仪器包装</w:t>
      </w:r>
    </w:p>
    <w:p w14:paraId="0A428223">
      <w:pPr>
        <w:widowControl/>
        <w:spacing w:line="312" w:lineRule="auto"/>
        <w:ind w:firstLine="420"/>
        <w:rPr>
          <w:rFonts w:ascii="Times New Roman" w:hAnsi="Times New Roman"/>
          <w:kern w:val="0"/>
        </w:rPr>
      </w:pPr>
      <w:r>
        <w:rPr>
          <w:rFonts w:ascii="Times New Roman" w:hAnsi="Times New Roman"/>
          <w:kern w:val="0"/>
        </w:rPr>
        <w:t>仪器包装应符合 GB/T 13384—2008 的规定。</w:t>
      </w:r>
    </w:p>
    <w:p w14:paraId="348721B4">
      <w:pPr>
        <w:pStyle w:val="238"/>
        <w:numPr>
          <w:ilvl w:val="2"/>
          <w:numId w:val="40"/>
        </w:numPr>
        <w:spacing w:before="120" w:after="120"/>
        <w:rPr>
          <w:rFonts w:ascii="Times New Roman" w:hAnsi="Times New Roman"/>
        </w:rPr>
      </w:pPr>
      <w:bookmarkStart w:id="109" w:name="_Toc413338316"/>
      <w:bookmarkEnd w:id="109"/>
      <w:r>
        <w:rPr>
          <w:rFonts w:ascii="Times New Roman" w:hAnsi="Times New Roman"/>
        </w:rPr>
        <w:t>随机文件</w:t>
      </w:r>
    </w:p>
    <w:p w14:paraId="3F24B794">
      <w:pPr>
        <w:widowControl/>
        <w:spacing w:line="312" w:lineRule="auto"/>
        <w:ind w:firstLine="420"/>
        <w:rPr>
          <w:rFonts w:ascii="Times New Roman" w:hAnsi="Times New Roman"/>
          <w:kern w:val="0"/>
        </w:rPr>
      </w:pPr>
      <w:r>
        <w:rPr>
          <w:rFonts w:ascii="Times New Roman" w:hAnsi="Times New Roman"/>
          <w:kern w:val="0"/>
        </w:rPr>
        <w:t>应具备以下文件：</w:t>
      </w:r>
    </w:p>
    <w:p w14:paraId="7EA383A6">
      <w:pPr>
        <w:pStyle w:val="178"/>
        <w:spacing w:line="312" w:lineRule="auto"/>
        <w:rPr>
          <w:rFonts w:ascii="Times New Roman"/>
        </w:rPr>
      </w:pPr>
      <w:r>
        <w:rPr>
          <w:rFonts w:ascii="Times New Roman"/>
        </w:rPr>
        <w:t>装箱清单；</w:t>
      </w:r>
    </w:p>
    <w:p w14:paraId="61FE842B">
      <w:pPr>
        <w:pStyle w:val="178"/>
        <w:spacing w:line="312" w:lineRule="auto"/>
        <w:rPr>
          <w:rFonts w:ascii="Times New Roman"/>
        </w:rPr>
      </w:pPr>
      <w:r>
        <w:rPr>
          <w:rFonts w:ascii="Times New Roman"/>
        </w:rPr>
        <w:t>使用说明书（关于安全的要求应符合GB 4793.1—2007第5章有关规定）；</w:t>
      </w:r>
    </w:p>
    <w:p w14:paraId="7C21520A">
      <w:pPr>
        <w:pStyle w:val="178"/>
        <w:spacing w:line="312" w:lineRule="auto"/>
        <w:rPr>
          <w:rFonts w:ascii="Times New Roman"/>
        </w:rPr>
      </w:pPr>
      <w:r>
        <w:rPr>
          <w:rFonts w:ascii="Times New Roman"/>
        </w:rPr>
        <w:t>合格证；</w:t>
      </w:r>
    </w:p>
    <w:p w14:paraId="25554378">
      <w:pPr>
        <w:pStyle w:val="178"/>
        <w:spacing w:line="312" w:lineRule="auto"/>
        <w:rPr>
          <w:rFonts w:ascii="Times New Roman"/>
        </w:rPr>
      </w:pPr>
      <w:r>
        <w:rPr>
          <w:rFonts w:ascii="Times New Roman"/>
        </w:rPr>
        <w:t>附备件清单。</w:t>
      </w:r>
    </w:p>
    <w:p w14:paraId="530A138E">
      <w:pPr>
        <w:pStyle w:val="237"/>
        <w:numPr>
          <w:ilvl w:val="0"/>
          <w:numId w:val="40"/>
        </w:numPr>
        <w:rPr>
          <w:rFonts w:ascii="Times New Roman" w:hAnsi="Times New Roman"/>
        </w:rPr>
      </w:pPr>
      <w:r>
        <w:rPr>
          <w:rFonts w:ascii="Times New Roman" w:hAnsi="Times New Roman"/>
        </w:rPr>
        <w:t>运输和贮存</w:t>
      </w:r>
    </w:p>
    <w:p w14:paraId="449D1AEF">
      <w:pPr>
        <w:pStyle w:val="236"/>
        <w:numPr>
          <w:ilvl w:val="1"/>
          <w:numId w:val="40"/>
        </w:numPr>
        <w:rPr>
          <w:rFonts w:ascii="Times New Roman" w:hAnsi="Times New Roman" w:eastAsia="宋体"/>
        </w:rPr>
      </w:pPr>
      <w:r>
        <w:rPr>
          <w:rFonts w:ascii="Times New Roman" w:hAnsi="Times New Roman" w:eastAsia="宋体"/>
        </w:rPr>
        <w:t>仪器在运输过程中和贮存时应防止受到剧烈冲击、雨淋、暴晒及辐射。</w:t>
      </w:r>
    </w:p>
    <w:p w14:paraId="5A1F0F53">
      <w:pPr>
        <w:pStyle w:val="236"/>
        <w:numPr>
          <w:ilvl w:val="1"/>
          <w:numId w:val="40"/>
        </w:numPr>
        <w:rPr>
          <w:rFonts w:ascii="Times New Roman" w:hAnsi="Times New Roman" w:eastAsia="宋体"/>
        </w:rPr>
      </w:pPr>
      <w:r>
        <w:rPr>
          <w:rFonts w:ascii="Times New Roman" w:hAnsi="Times New Roman" w:eastAsia="宋体"/>
        </w:rPr>
        <w:t>仪器应原箱存放保管，仓库环境温度为 0℃～40℃，相对湿度不大于 85%；仓库内不应存放能引起仪器腐蚀和电气绝缘性降低的有害物质。</w:t>
      </w:r>
    </w:p>
    <w:p w14:paraId="749BCE72">
      <w:pPr>
        <w:pStyle w:val="234"/>
        <w:spacing w:line="312" w:lineRule="auto"/>
        <w:rPr>
          <w:rFonts w:ascii="Times New Roman"/>
          <w:szCs w:val="21"/>
        </w:rPr>
      </w:pPr>
    </w:p>
    <w:p w14:paraId="184BEFD1">
      <w:pPr>
        <w:pStyle w:val="234"/>
        <w:spacing w:line="312" w:lineRule="auto"/>
        <w:rPr>
          <w:rFonts w:ascii="Times New Roman"/>
          <w:szCs w:val="21"/>
        </w:rPr>
      </w:pPr>
    </w:p>
    <w:p w14:paraId="343BD6E7">
      <w:pPr>
        <w:pStyle w:val="234"/>
        <w:spacing w:line="312" w:lineRule="auto"/>
        <w:rPr>
          <w:rFonts w:ascii="Times New Roman"/>
          <w:szCs w:val="21"/>
        </w:rPr>
      </w:pPr>
      <w:bookmarkStart w:id="110" w:name="BookMark8"/>
      <w:r>
        <w:rPr>
          <w:rFonts w:ascii="Times New Roman"/>
        </w:rPr>
        <w:drawing>
          <wp:anchor distT="0" distB="0" distL="0" distR="0" simplePos="0" relativeHeight="251661312" behindDoc="1" locked="0" layoutInCell="1" allowOverlap="1">
            <wp:simplePos x="0" y="0"/>
            <wp:positionH relativeFrom="column">
              <wp:posOffset>2171700</wp:posOffset>
            </wp:positionH>
            <wp:positionV relativeFrom="page">
              <wp:posOffset>8322310</wp:posOffset>
            </wp:positionV>
            <wp:extent cx="1485900" cy="317500"/>
            <wp:effectExtent l="0" t="0" r="0" b="6350"/>
            <wp:wrapTight wrapText="bothSides">
              <wp:wrapPolygon>
                <wp:start x="0" y="0"/>
                <wp:lineTo x="0" y="20045"/>
                <wp:lineTo x="21323" y="20045"/>
                <wp:lineTo x="21323" y="0"/>
                <wp:lineTo x="0" y="0"/>
              </wp:wrapPolygon>
            </wp:wrapTight>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6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anchor>
        </w:drawing>
      </w:r>
      <w:bookmarkEnd w:id="110"/>
    </w:p>
    <w:p w14:paraId="76B03BAC">
      <w:pPr>
        <w:pStyle w:val="234"/>
        <w:spacing w:line="312" w:lineRule="auto"/>
        <w:rPr>
          <w:rFonts w:ascii="Times New Roman"/>
        </w:rPr>
      </w:pPr>
    </w:p>
    <w:p w14:paraId="61EE3AEE">
      <w:pPr>
        <w:pStyle w:val="60"/>
        <w:spacing w:line="312" w:lineRule="auto"/>
        <w:ind w:firstLine="420"/>
        <w:rPr>
          <w:rFonts w:ascii="Times New Roman"/>
        </w:rPr>
      </w:pPr>
    </w:p>
    <w:p w14:paraId="0B57A9A3">
      <w:pPr>
        <w:pStyle w:val="60"/>
        <w:spacing w:line="312" w:lineRule="auto"/>
        <w:ind w:firstLine="420"/>
        <w:rPr>
          <w:rFonts w:ascii="Times New Roman"/>
        </w:rPr>
      </w:pPr>
    </w:p>
    <w:p w14:paraId="3D137847">
      <w:pPr>
        <w:pStyle w:val="60"/>
        <w:spacing w:line="312" w:lineRule="auto"/>
        <w:ind w:firstLine="420"/>
        <w:rPr>
          <w:rFonts w:ascii="Times New Roman"/>
        </w:rPr>
      </w:pPr>
    </w:p>
    <w:bookmarkEnd w:id="21"/>
    <w:p w14:paraId="2EFA2020">
      <w:pPr>
        <w:pStyle w:val="60"/>
        <w:spacing w:line="312" w:lineRule="auto"/>
        <w:ind w:firstLine="0" w:firstLineChars="0"/>
        <w:jc w:val="center"/>
        <w:rPr>
          <w:rFonts w:ascii="Times New Roman"/>
        </w:rPr>
      </w:pPr>
    </w:p>
    <w:sectPr>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华文琥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88B6F8">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5BACEC">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8D0B9D">
    <w:pPr>
      <w:pStyle w:val="56"/>
    </w:pPr>
    <w:r>
      <w:fldChar w:fldCharType="begin"/>
    </w:r>
    <w:r>
      <w:instrText xml:space="preserve">PAGE   \* MERGEFORMAT</w:instrText>
    </w:r>
    <w:r>
      <w:fldChar w:fldCharType="separate"/>
    </w:r>
    <w:r>
      <w:rPr>
        <w:lang w:val="zh-CN"/>
      </w:rP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EE33B">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16E90F">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BBC7F">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D86D6">
    <w:pPr>
      <w:pStyle w:val="65"/>
    </w:pPr>
    <w:r>
      <w:fldChar w:fldCharType="begin"/>
    </w:r>
    <w:r>
      <w:instrText xml:space="preserve"> STYLEREF  标准文件_文件编号  \* MERGEFORMAT </w:instrText>
    </w:r>
    <w:r>
      <w:fldChar w:fldCharType="separate"/>
    </w:r>
    <w:r>
      <w:t>JB/TXXXXX—XXXX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1BDD2">
    <w:pPr>
      <w:pStyle w:val="19"/>
      <w:jc w:val="right"/>
    </w:pPr>
    <w:r>
      <w:fldChar w:fldCharType="begin"/>
    </w:r>
    <w:r>
      <w:instrText xml:space="preserve"> STYLEREF  标准文件_文件编号  \* MERGEFORMAT </w:instrText>
    </w:r>
    <w:r>
      <w:fldChar w:fldCharType="separate"/>
    </w:r>
    <w:r>
      <w:t>JB/TXXXXX—XXXX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3FCE28"/>
    <w:multiLevelType w:val="singleLevel"/>
    <w:tmpl w:val="B73FCE28"/>
    <w:lvl w:ilvl="0" w:tentative="0">
      <w:start w:val="1"/>
      <w:numFmt w:val="lowerLetter"/>
      <w:suff w:val="space"/>
      <w:lvlText w:val="%1)"/>
      <w:lvlJc w:val="left"/>
    </w:lvl>
  </w:abstractNum>
  <w:abstractNum w:abstractNumId="1">
    <w:nsid w:val="000A39D0"/>
    <w:multiLevelType w:val="multilevel"/>
    <w:tmpl w:val="000A39D0"/>
    <w:lvl w:ilvl="0" w:tentative="0">
      <w:start w:val="5"/>
      <w:numFmt w:val="decimal"/>
      <w:lvlText w:val="%1"/>
      <w:lvlJc w:val="left"/>
      <w:pPr>
        <w:ind w:left="420" w:hanging="420"/>
      </w:pPr>
      <w:rPr>
        <w:rFonts w:hint="eastAsia" w:ascii="黑体" w:hAnsi="黑体" w:eastAsia="黑体"/>
      </w:rPr>
    </w:lvl>
    <w:lvl w:ilvl="1" w:tentative="0">
      <w:start w:val="6"/>
      <w:numFmt w:val="decimal"/>
      <w:isLgl/>
      <w:lvlText w:val="%1.%2"/>
      <w:lvlJc w:val="left"/>
      <w:pPr>
        <w:ind w:left="525" w:hanging="525"/>
      </w:pPr>
      <w:rPr>
        <w:rFonts w:hint="default"/>
      </w:rPr>
    </w:lvl>
    <w:lvl w:ilvl="2" w:tentative="0">
      <w:start w:val="1"/>
      <w:numFmt w:val="decimal"/>
      <w:isLgl/>
      <w:lvlText w:val="%1.%2.%3"/>
      <w:lvlJc w:val="left"/>
      <w:pPr>
        <w:ind w:left="720" w:hanging="720"/>
      </w:pPr>
      <w:rPr>
        <w:rFonts w:hint="default" w:ascii="黑体" w:hAnsi="黑体" w:eastAsia="黑体"/>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800" w:hanging="1800"/>
      </w:pPr>
      <w:rPr>
        <w:rFonts w:hint="default"/>
      </w:rPr>
    </w:lvl>
    <w:lvl w:ilvl="8" w:tentative="0">
      <w:start w:val="1"/>
      <w:numFmt w:val="decimal"/>
      <w:isLgl/>
      <w:lvlText w:val="%1.%2.%3.%4.%5.%6.%7.%8.%9"/>
      <w:lvlJc w:val="left"/>
      <w:pPr>
        <w:ind w:left="1800" w:hanging="1800"/>
      </w:pPr>
      <w:rPr>
        <w:rFonts w:hint="default"/>
      </w:rPr>
    </w:lvl>
  </w:abstractNum>
  <w:abstractNum w:abstractNumId="2">
    <w:nsid w:val="02837933"/>
    <w:multiLevelType w:val="multilevel"/>
    <w:tmpl w:val="02837933"/>
    <w:lvl w:ilvl="0" w:tentative="0">
      <w:start w:val="1"/>
      <w:numFmt w:val="decimal"/>
      <w:pStyle w:val="6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3">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2"/>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
    <w:nsid w:val="05A65631"/>
    <w:multiLevelType w:val="multilevel"/>
    <w:tmpl w:val="05A65631"/>
    <w:lvl w:ilvl="0" w:tentative="0">
      <w:start w:val="2"/>
      <w:numFmt w:val="decimal"/>
      <w:suff w:val="nothing"/>
      <w:lvlText w:val="表%1　"/>
      <w:lvlJc w:val="left"/>
      <w:pPr>
        <w:ind w:left="0" w:firstLine="0"/>
      </w:pPr>
      <w:rPr>
        <w:rFonts w:hint="eastAsia" w:ascii="黑体" w:hAnsi="Times New Roman" w:eastAsia="黑体"/>
        <w:b w:val="0"/>
        <w:bCs w:val="0"/>
        <w:sz w:val="21"/>
        <w:szCs w:val="21"/>
        <w:lang w:val="en-US"/>
      </w:rPr>
    </w:lvl>
    <w:lvl w:ilvl="1" w:tentative="0">
      <w:start w:val="1"/>
      <w:numFmt w:val="decimal"/>
      <w:lvlText w:val="%1.%2"/>
      <w:lvlJc w:val="left"/>
      <w:pPr>
        <w:tabs>
          <w:tab w:val="left" w:pos="992"/>
        </w:tabs>
        <w:ind w:left="992" w:hanging="567"/>
      </w:pPr>
      <w:rPr>
        <w:rFonts w:hint="eastAsia" w:ascii="宋体" w:hAnsi="宋体" w:eastAsia="宋体"/>
      </w:rPr>
    </w:lvl>
    <w:lvl w:ilvl="2" w:tentative="0">
      <w:start w:val="1"/>
      <w:numFmt w:val="decimal"/>
      <w:lvlText w:val="%1.%2.%3"/>
      <w:lvlJc w:val="left"/>
      <w:pPr>
        <w:tabs>
          <w:tab w:val="left" w:pos="1418"/>
        </w:tabs>
        <w:ind w:left="1418" w:hanging="567"/>
      </w:pPr>
      <w:rPr>
        <w:rFonts w:hint="eastAsia" w:ascii="宋体" w:hAnsi="宋体" w:eastAsia="宋体"/>
      </w:rPr>
    </w:lvl>
    <w:lvl w:ilvl="3" w:tentative="0">
      <w:start w:val="1"/>
      <w:numFmt w:val="decimal"/>
      <w:lvlText w:val="%1.%2.%3.%4"/>
      <w:lvlJc w:val="left"/>
      <w:pPr>
        <w:tabs>
          <w:tab w:val="left" w:pos="1984"/>
        </w:tabs>
        <w:ind w:left="1984" w:hanging="708"/>
      </w:pPr>
      <w:rPr>
        <w:rFonts w:hint="eastAsia" w:ascii="宋体" w:hAnsi="宋体" w:eastAsia="宋体"/>
      </w:rPr>
    </w:lvl>
    <w:lvl w:ilvl="4" w:tentative="0">
      <w:start w:val="1"/>
      <w:numFmt w:val="decimal"/>
      <w:lvlText w:val="%1.%2.%3.%4.%5"/>
      <w:lvlJc w:val="left"/>
      <w:pPr>
        <w:tabs>
          <w:tab w:val="left" w:pos="2551"/>
        </w:tabs>
        <w:ind w:left="2551" w:hanging="850"/>
      </w:pPr>
      <w:rPr>
        <w:rFonts w:hint="eastAsia" w:ascii="宋体" w:hAnsi="宋体" w:eastAsia="宋体"/>
      </w:rPr>
    </w:lvl>
    <w:lvl w:ilvl="5" w:tentative="0">
      <w:start w:val="1"/>
      <w:numFmt w:val="decimal"/>
      <w:lvlText w:val="%1.%2.%3.%4.%5.%6"/>
      <w:lvlJc w:val="left"/>
      <w:pPr>
        <w:tabs>
          <w:tab w:val="left" w:pos="3260"/>
        </w:tabs>
        <w:ind w:left="3260" w:hanging="1135"/>
      </w:pPr>
      <w:rPr>
        <w:rFonts w:hint="eastAsia" w:ascii="宋体" w:hAnsi="宋体" w:eastAsia="宋体"/>
      </w:rPr>
    </w:lvl>
    <w:lvl w:ilvl="6" w:tentative="0">
      <w:start w:val="1"/>
      <w:numFmt w:val="decimal"/>
      <w:lvlText w:val="%1.%2.%3.%4.%5.%6.%7"/>
      <w:lvlJc w:val="left"/>
      <w:pPr>
        <w:tabs>
          <w:tab w:val="left" w:pos="3827"/>
        </w:tabs>
        <w:ind w:left="3827" w:hanging="1276"/>
      </w:pPr>
      <w:rPr>
        <w:rFonts w:hint="eastAsia" w:ascii="宋体" w:hAnsi="宋体" w:eastAsia="宋体"/>
      </w:rPr>
    </w:lvl>
    <w:lvl w:ilvl="7" w:tentative="0">
      <w:start w:val="1"/>
      <w:numFmt w:val="decimal"/>
      <w:lvlText w:val="%1.%2.%3.%4.%5.%6.%7.%8"/>
      <w:lvlJc w:val="left"/>
      <w:pPr>
        <w:tabs>
          <w:tab w:val="left" w:pos="4394"/>
        </w:tabs>
        <w:ind w:left="4394" w:hanging="1418"/>
      </w:pPr>
      <w:rPr>
        <w:rFonts w:hint="eastAsia" w:ascii="宋体" w:hAnsi="宋体" w:eastAsia="宋体"/>
      </w:rPr>
    </w:lvl>
    <w:lvl w:ilvl="8" w:tentative="0">
      <w:start w:val="1"/>
      <w:numFmt w:val="decimal"/>
      <w:lvlText w:val="%1.%2.%3.%4.%5.%6.%7.%8.%9"/>
      <w:lvlJc w:val="left"/>
      <w:pPr>
        <w:tabs>
          <w:tab w:val="left" w:pos="5102"/>
        </w:tabs>
        <w:ind w:left="5102" w:hanging="1700"/>
      </w:pPr>
      <w:rPr>
        <w:rFonts w:hint="eastAsia" w:ascii="宋体" w:hAnsi="宋体" w:eastAsia="宋体"/>
      </w:rPr>
    </w:lvl>
  </w:abstractNum>
  <w:abstractNum w:abstractNumId="5">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6">
    <w:nsid w:val="07ED3FEA"/>
    <w:multiLevelType w:val="multilevel"/>
    <w:tmpl w:val="07ED3FEA"/>
    <w:lvl w:ilvl="0" w:tentative="0">
      <w:start w:val="1"/>
      <w:numFmt w:val="none"/>
      <w:pStyle w:val="93"/>
      <w:lvlText w:val="%1"/>
      <w:lvlJc w:val="left"/>
      <w:pPr>
        <w:ind w:left="425" w:hanging="425"/>
      </w:pPr>
      <w:rPr>
        <w:rFonts w:hint="eastAsia"/>
      </w:rPr>
    </w:lvl>
    <w:lvl w:ilvl="1" w:tentative="0">
      <w:start w:val="1"/>
      <w:numFmt w:val="decimal"/>
      <w:pStyle w:val="204"/>
      <w:suff w:val="nothing"/>
      <w:lvlText w:val="%10.%2 "/>
      <w:lvlJc w:val="left"/>
      <w:pPr>
        <w:ind w:left="0" w:firstLine="0"/>
      </w:pPr>
      <w:rPr>
        <w:rFonts w:hint="eastAsia" w:ascii="黑体" w:eastAsia="黑体" w:hAnsiTheme="minorHAnsi"/>
        <w:b w:val="0"/>
        <w:i w:val="0"/>
        <w:sz w:val="21"/>
      </w:rPr>
    </w:lvl>
    <w:lvl w:ilvl="2" w:tentative="0">
      <w:start w:val="1"/>
      <w:numFmt w:val="decimal"/>
      <w:pStyle w:val="205"/>
      <w:suff w:val="nothing"/>
      <w:lvlText w:val="%10.%2.%3 "/>
      <w:lvlJc w:val="left"/>
      <w:pPr>
        <w:ind w:left="0" w:firstLine="0"/>
      </w:pPr>
      <w:rPr>
        <w:rFonts w:hint="eastAsia" w:ascii="黑体" w:eastAsia="黑体" w:hAnsiTheme="minorHAnsi"/>
        <w:b w:val="0"/>
        <w:i w:val="0"/>
        <w:sz w:val="21"/>
      </w:rPr>
    </w:lvl>
    <w:lvl w:ilvl="3" w:tentative="0">
      <w:start w:val="1"/>
      <w:numFmt w:val="decimal"/>
      <w:pStyle w:val="206"/>
      <w:suff w:val="nothing"/>
      <w:lvlText w:val="%10.%2.%3.%4 "/>
      <w:lvlJc w:val="left"/>
      <w:pPr>
        <w:ind w:left="0" w:firstLine="0"/>
      </w:pPr>
      <w:rPr>
        <w:rFonts w:hint="eastAsia" w:ascii="黑体" w:eastAsia="黑体" w:hAnsiTheme="minorHAnsi"/>
        <w:b w:val="0"/>
        <w:i w:val="0"/>
        <w:sz w:val="21"/>
      </w:rPr>
    </w:lvl>
    <w:lvl w:ilvl="4" w:tentative="0">
      <w:start w:val="1"/>
      <w:numFmt w:val="decimal"/>
      <w:pStyle w:val="207"/>
      <w:suff w:val="nothing"/>
      <w:lvlText w:val="%10.%2.%3.%4.%5 "/>
      <w:lvlJc w:val="left"/>
      <w:pPr>
        <w:ind w:left="0" w:firstLine="0"/>
      </w:pPr>
      <w:rPr>
        <w:rFonts w:hint="eastAsia" w:ascii="黑体" w:eastAsia="黑体" w:hAnsiTheme="minorHAnsi"/>
        <w:b w:val="0"/>
        <w:i w:val="0"/>
        <w:sz w:val="21"/>
      </w:rPr>
    </w:lvl>
    <w:lvl w:ilvl="5" w:tentative="0">
      <w:start w:val="1"/>
      <w:numFmt w:val="decimal"/>
      <w:pStyle w:val="20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7">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8">
    <w:nsid w:val="0BDC1670"/>
    <w:multiLevelType w:val="multilevel"/>
    <w:tmpl w:val="0BDC1670"/>
    <w:lvl w:ilvl="0" w:tentative="0">
      <w:start w:val="1"/>
      <w:numFmt w:val="decimal"/>
      <w:pStyle w:val="7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10">
    <w:nsid w:val="1AD20F90"/>
    <w:multiLevelType w:val="multilevel"/>
    <w:tmpl w:val="1AD20F90"/>
    <w:lvl w:ilvl="0" w:tentative="0">
      <w:start w:val="1"/>
      <w:numFmt w:val="none"/>
      <w:pStyle w:val="11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1AF15012"/>
    <w:multiLevelType w:val="multilevel"/>
    <w:tmpl w:val="1AF15012"/>
    <w:lvl w:ilvl="0" w:tentative="0">
      <w:start w:val="1"/>
      <w:numFmt w:val="upperLetter"/>
      <w:pStyle w:val="8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2">
    <w:nsid w:val="1EAA1992"/>
    <w:multiLevelType w:val="multilevel"/>
    <w:tmpl w:val="1EAA1992"/>
    <w:lvl w:ilvl="0" w:tentative="0">
      <w:start w:val="1"/>
      <w:numFmt w:val="none"/>
      <w:pStyle w:val="9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3">
    <w:nsid w:val="21880CAF"/>
    <w:multiLevelType w:val="multilevel"/>
    <w:tmpl w:val="21880CAF"/>
    <w:lvl w:ilvl="0" w:tentative="0">
      <w:start w:val="1"/>
      <w:numFmt w:val="lowerLetter"/>
      <w:lvlText w:val="%1)"/>
      <w:lvlJc w:val="left"/>
      <w:pPr>
        <w:tabs>
          <w:tab w:val="left" w:pos="840"/>
        </w:tabs>
        <w:ind w:left="839" w:hanging="419"/>
      </w:pPr>
      <w:rPr>
        <w:rFonts w:hint="eastAsia" w:ascii="宋体" w:hAnsi="宋体" w:eastAsia="宋体"/>
        <w:b w:val="0"/>
        <w:bCs w:val="0"/>
        <w:sz w:val="21"/>
        <w:szCs w:val="21"/>
      </w:rPr>
    </w:lvl>
    <w:lvl w:ilvl="1" w:tentative="0">
      <w:start w:val="1"/>
      <w:numFmt w:val="decimal"/>
      <w:lvlText w:val="%2)"/>
      <w:lvlJc w:val="left"/>
      <w:pPr>
        <w:tabs>
          <w:tab w:val="left" w:pos="1260"/>
        </w:tabs>
        <w:ind w:left="1259" w:hanging="419"/>
      </w:pPr>
      <w:rPr>
        <w:rFonts w:hint="eastAsia" w:ascii="宋体" w:hAnsi="宋体" w:eastAsia="宋体"/>
      </w:rPr>
    </w:lvl>
    <w:lvl w:ilvl="2" w:tentative="0">
      <w:start w:val="1"/>
      <w:numFmt w:val="decimal"/>
      <w:lvlText w:val="(%3)"/>
      <w:lvlJc w:val="left"/>
      <w:pPr>
        <w:tabs>
          <w:tab w:val="left" w:pos="0"/>
        </w:tabs>
        <w:ind w:left="1679" w:hanging="420"/>
      </w:pPr>
      <w:rPr>
        <w:rFonts w:hint="eastAsia" w:ascii="宋体" w:hAnsi="宋体" w:eastAsia="宋体"/>
        <w:b w:val="0"/>
        <w:bCs w:val="0"/>
        <w:sz w:val="21"/>
        <w:szCs w:val="21"/>
      </w:rPr>
    </w:lvl>
    <w:lvl w:ilvl="3" w:tentative="0">
      <w:start w:val="1"/>
      <w:numFmt w:val="decimal"/>
      <w:lvlText w:val="%4."/>
      <w:lvlJc w:val="left"/>
      <w:pPr>
        <w:tabs>
          <w:tab w:val="left" w:pos="2100"/>
        </w:tabs>
        <w:ind w:left="2099" w:hanging="419"/>
      </w:pPr>
      <w:rPr>
        <w:rFonts w:hint="eastAsia" w:ascii="宋体" w:hAnsi="宋体" w:eastAsia="宋体"/>
      </w:rPr>
    </w:lvl>
    <w:lvl w:ilvl="4" w:tentative="0">
      <w:start w:val="1"/>
      <w:numFmt w:val="lowerLetter"/>
      <w:lvlText w:val="%5)"/>
      <w:lvlJc w:val="left"/>
      <w:pPr>
        <w:tabs>
          <w:tab w:val="left" w:pos="2520"/>
        </w:tabs>
        <w:ind w:left="2519" w:hanging="419"/>
      </w:pPr>
      <w:rPr>
        <w:rFonts w:hint="eastAsia" w:ascii="宋体" w:hAnsi="宋体" w:eastAsia="宋体"/>
      </w:rPr>
    </w:lvl>
    <w:lvl w:ilvl="5" w:tentative="0">
      <w:start w:val="1"/>
      <w:numFmt w:val="lowerRoman"/>
      <w:lvlText w:val="%6."/>
      <w:lvlJc w:val="right"/>
      <w:pPr>
        <w:tabs>
          <w:tab w:val="left" w:pos="2940"/>
        </w:tabs>
        <w:ind w:left="2939" w:hanging="419"/>
      </w:pPr>
      <w:rPr>
        <w:rFonts w:hint="eastAsia" w:ascii="宋体" w:hAnsi="宋体" w:eastAsia="宋体"/>
      </w:rPr>
    </w:lvl>
    <w:lvl w:ilvl="6" w:tentative="0">
      <w:start w:val="1"/>
      <w:numFmt w:val="decimal"/>
      <w:lvlText w:val="%7."/>
      <w:lvlJc w:val="left"/>
      <w:pPr>
        <w:tabs>
          <w:tab w:val="left" w:pos="3360"/>
        </w:tabs>
        <w:ind w:left="3359" w:hanging="419"/>
      </w:pPr>
      <w:rPr>
        <w:rFonts w:hint="eastAsia" w:ascii="宋体" w:hAnsi="宋体" w:eastAsia="宋体"/>
      </w:rPr>
    </w:lvl>
    <w:lvl w:ilvl="7" w:tentative="0">
      <w:start w:val="1"/>
      <w:numFmt w:val="lowerLetter"/>
      <w:lvlText w:val="%8)"/>
      <w:lvlJc w:val="left"/>
      <w:pPr>
        <w:tabs>
          <w:tab w:val="left" w:pos="3780"/>
        </w:tabs>
        <w:ind w:left="3779" w:hanging="419"/>
      </w:pPr>
      <w:rPr>
        <w:rFonts w:hint="eastAsia" w:ascii="宋体" w:hAnsi="宋体" w:eastAsia="宋体"/>
      </w:rPr>
    </w:lvl>
    <w:lvl w:ilvl="8" w:tentative="0">
      <w:start w:val="1"/>
      <w:numFmt w:val="lowerRoman"/>
      <w:lvlText w:val="%9."/>
      <w:lvlJc w:val="right"/>
      <w:pPr>
        <w:tabs>
          <w:tab w:val="left" w:pos="4200"/>
        </w:tabs>
        <w:ind w:left="4199" w:hanging="419"/>
      </w:pPr>
      <w:rPr>
        <w:rFonts w:hint="eastAsia" w:ascii="宋体" w:hAnsi="宋体" w:eastAsia="宋体"/>
      </w:rPr>
    </w:lvl>
  </w:abstractNum>
  <w:abstractNum w:abstractNumId="14">
    <w:nsid w:val="26F84033"/>
    <w:multiLevelType w:val="multilevel"/>
    <w:tmpl w:val="26F84033"/>
    <w:lvl w:ilvl="0" w:tentative="0">
      <w:start w:val="7"/>
      <w:numFmt w:val="decimal"/>
      <w:lvlText w:val="%1"/>
      <w:lvlJc w:val="left"/>
      <w:pPr>
        <w:ind w:left="360" w:hanging="360"/>
      </w:pPr>
      <w:rPr>
        <w:rFonts w:hint="default" w:ascii="黑体" w:hAnsi="黑体" w:eastAsia="黑体"/>
      </w:rPr>
    </w:lvl>
    <w:lvl w:ilvl="1" w:tentative="0">
      <w:start w:val="1"/>
      <w:numFmt w:val="decimal"/>
      <w:lvlText w:val="%1.%2"/>
      <w:lvlJc w:val="left"/>
      <w:pPr>
        <w:ind w:left="360" w:hanging="360"/>
      </w:pPr>
      <w:rPr>
        <w:rFonts w:hint="default" w:ascii="黑体" w:hAnsi="黑体" w:eastAsia="黑体"/>
      </w:rPr>
    </w:lvl>
    <w:lvl w:ilvl="2" w:tentative="0">
      <w:start w:val="1"/>
      <w:numFmt w:val="decimal"/>
      <w:lvlText w:val="%1.%2.%3"/>
      <w:lvlJc w:val="left"/>
      <w:pPr>
        <w:ind w:left="720" w:hanging="720"/>
      </w:pPr>
      <w:rPr>
        <w:rFonts w:hint="default" w:ascii="黑体" w:hAnsi="黑体" w:eastAsia="黑体"/>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15">
    <w:nsid w:val="2C5917C3"/>
    <w:multiLevelType w:val="multilevel"/>
    <w:tmpl w:val="2C5917C3"/>
    <w:lvl w:ilvl="0" w:tentative="0">
      <w:start w:val="1"/>
      <w:numFmt w:val="none"/>
      <w:pStyle w:val="13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1"/>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6">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7">
    <w:nsid w:val="3521607A"/>
    <w:multiLevelType w:val="multilevel"/>
    <w:tmpl w:val="3521607A"/>
    <w:lvl w:ilvl="0" w:tentative="0">
      <w:start w:val="6"/>
      <w:numFmt w:val="decimal"/>
      <w:pStyle w:val="237"/>
      <w:lvlText w:val="%1"/>
      <w:lvlJc w:val="left"/>
      <w:pPr>
        <w:ind w:left="360" w:hanging="360"/>
      </w:pPr>
      <w:rPr>
        <w:rFonts w:hint="default"/>
      </w:rPr>
    </w:lvl>
    <w:lvl w:ilvl="1" w:tentative="0">
      <w:start w:val="1"/>
      <w:numFmt w:val="decimal"/>
      <w:pStyle w:val="236"/>
      <w:lvlText w:val="%1.%2"/>
      <w:lvlJc w:val="left"/>
      <w:pPr>
        <w:ind w:left="360" w:hanging="360"/>
      </w:pPr>
      <w:rPr>
        <w:rFonts w:hint="default" w:ascii="黑体" w:hAnsi="黑体" w:eastAsia="黑体"/>
      </w:rPr>
    </w:lvl>
    <w:lvl w:ilvl="2" w:tentative="0">
      <w:start w:val="1"/>
      <w:numFmt w:val="decimal"/>
      <w:lvlText w:val="%1.%2.%3"/>
      <w:lvlJc w:val="left"/>
      <w:pPr>
        <w:ind w:left="720" w:hanging="720"/>
      </w:pPr>
      <w:rPr>
        <w:rFonts w:hint="default" w:ascii="黑体" w:hAnsi="黑体" w:eastAsia="黑体"/>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18">
    <w:nsid w:val="44C50F90"/>
    <w:multiLevelType w:val="multilevel"/>
    <w:tmpl w:val="44C50F90"/>
    <w:lvl w:ilvl="0" w:tentative="0">
      <w:start w:val="1"/>
      <w:numFmt w:val="lowerLetter"/>
      <w:pStyle w:val="178"/>
      <w:lvlText w:val="%1)"/>
      <w:lvlJc w:val="left"/>
      <w:pPr>
        <w:tabs>
          <w:tab w:val="left" w:pos="851"/>
        </w:tabs>
        <w:ind w:left="851" w:hanging="426"/>
      </w:pPr>
      <w:rPr>
        <w:rFonts w:hint="eastAsia" w:ascii="宋体" w:hAnsi="Times New Roman" w:eastAsia="宋体"/>
        <w:sz w:val="21"/>
      </w:rPr>
    </w:lvl>
    <w:lvl w:ilvl="1" w:tentative="0">
      <w:start w:val="1"/>
      <w:numFmt w:val="decimal"/>
      <w:pStyle w:val="113"/>
      <w:lvlText w:val="%2)"/>
      <w:lvlJc w:val="left"/>
      <w:pPr>
        <w:tabs>
          <w:tab w:val="left" w:pos="1276"/>
        </w:tabs>
        <w:ind w:left="1276" w:hanging="425"/>
      </w:pPr>
      <w:rPr>
        <w:rFonts w:hint="eastAsia" w:ascii="宋体" w:hAnsi="Times New Roman" w:eastAsia="宋体"/>
        <w:sz w:val="21"/>
      </w:rPr>
    </w:lvl>
    <w:lvl w:ilvl="2" w:tentative="0">
      <w:start w:val="1"/>
      <w:numFmt w:val="decimal"/>
      <w:pStyle w:val="12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9">
    <w:nsid w:val="48802D1C"/>
    <w:multiLevelType w:val="multilevel"/>
    <w:tmpl w:val="48802D1C"/>
    <w:lvl w:ilvl="0" w:tentative="0">
      <w:start w:val="1"/>
      <w:numFmt w:val="upperLetter"/>
      <w:pStyle w:val="202"/>
      <w:lvlText w:val="%1"/>
      <w:lvlJc w:val="left"/>
      <w:pPr>
        <w:ind w:left="420" w:hanging="420"/>
      </w:pPr>
      <w:rPr>
        <w:rFonts w:hint="eastAsia"/>
      </w:rPr>
    </w:lvl>
    <w:lvl w:ilvl="1" w:tentative="0">
      <w:start w:val="1"/>
      <w:numFmt w:val="decimal"/>
      <w:pStyle w:val="87"/>
      <w:suff w:val="space"/>
      <w:lvlText w:val="图%1.%2"/>
      <w:lvlJc w:val="center"/>
      <w:pPr>
        <w:ind w:left="0" w:firstLine="0"/>
      </w:pPr>
      <w:rPr>
        <w:rFonts w:hint="eastAsia"/>
      </w:rPr>
    </w:lvl>
    <w:lvl w:ilvl="2" w:tentative="0">
      <w:start w:val="1"/>
      <w:numFmt w:val="lowerRoman"/>
      <w:pStyle w:val="246"/>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0">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1">
    <w:nsid w:val="4E5D0534"/>
    <w:multiLevelType w:val="multilevel"/>
    <w:tmpl w:val="4E5D0534"/>
    <w:lvl w:ilvl="0" w:tentative="0">
      <w:start w:val="1"/>
      <w:numFmt w:val="decimal"/>
      <w:pStyle w:val="12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2">
    <w:nsid w:val="54632751"/>
    <w:multiLevelType w:val="multilevel"/>
    <w:tmpl w:val="54632751"/>
    <w:lvl w:ilvl="0" w:tentative="0">
      <w:start w:val="1"/>
      <w:numFmt w:val="none"/>
      <w:pStyle w:val="9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3">
    <w:nsid w:val="557C2AF5"/>
    <w:multiLevelType w:val="multilevel"/>
    <w:tmpl w:val="557C2AF5"/>
    <w:lvl w:ilvl="0" w:tentative="0">
      <w:start w:val="1"/>
      <w:numFmt w:val="decimal"/>
      <w:pStyle w:val="11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4">
    <w:nsid w:val="5603797C"/>
    <w:multiLevelType w:val="multilevel"/>
    <w:tmpl w:val="5603797C"/>
    <w:lvl w:ilvl="0" w:tentative="0">
      <w:start w:val="1"/>
      <w:numFmt w:val="upperLetter"/>
      <w:pStyle w:val="203"/>
      <w:suff w:val="space"/>
      <w:lvlText w:val="%1"/>
      <w:lvlJc w:val="left"/>
      <w:pPr>
        <w:ind w:left="425" w:hanging="425"/>
      </w:pPr>
      <w:rPr>
        <w:rFonts w:hint="eastAsia"/>
      </w:rPr>
    </w:lvl>
    <w:lvl w:ilvl="1" w:tentative="0">
      <w:start w:val="1"/>
      <w:numFmt w:val="decimal"/>
      <w:pStyle w:val="8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5">
    <w:nsid w:val="564D2089"/>
    <w:multiLevelType w:val="multilevel"/>
    <w:tmpl w:val="564D2089"/>
    <w:lvl w:ilvl="0" w:tentative="0">
      <w:start w:val="1"/>
      <w:numFmt w:val="none"/>
      <w:pStyle w:val="11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5A658B54"/>
    <w:multiLevelType w:val="singleLevel"/>
    <w:tmpl w:val="5A658B54"/>
    <w:lvl w:ilvl="0" w:tentative="0">
      <w:start w:val="1"/>
      <w:numFmt w:val="lowerLetter"/>
      <w:suff w:val="space"/>
      <w:lvlText w:val="%1)"/>
      <w:lvlJc w:val="left"/>
    </w:lvl>
  </w:abstractNum>
  <w:abstractNum w:abstractNumId="27">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8">
    <w:nsid w:val="646260FA"/>
    <w:multiLevelType w:val="multilevel"/>
    <w:tmpl w:val="646260FA"/>
    <w:lvl w:ilvl="0" w:tentative="0">
      <w:start w:val="1"/>
      <w:numFmt w:val="decimal"/>
      <w:pStyle w:val="116"/>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9">
    <w:nsid w:val="654A26C9"/>
    <w:multiLevelType w:val="multilevel"/>
    <w:tmpl w:val="654A26C9"/>
    <w:lvl w:ilvl="0" w:tentative="0">
      <w:start w:val="1"/>
      <w:numFmt w:val="none"/>
      <w:pStyle w:val="19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30">
    <w:nsid w:val="657D3FBC"/>
    <w:multiLevelType w:val="multilevel"/>
    <w:tmpl w:val="657D3FBC"/>
    <w:lvl w:ilvl="0" w:tentative="0">
      <w:start w:val="1"/>
      <w:numFmt w:val="upperLetter"/>
      <w:pStyle w:val="80"/>
      <w:suff w:val="nothing"/>
      <w:lvlText w:val="附录%1"/>
      <w:lvlJc w:val="left"/>
      <w:pPr>
        <w:ind w:left="0" w:firstLine="0"/>
      </w:pPr>
      <w:rPr>
        <w:rFonts w:hint="eastAsia"/>
        <w:spacing w:val="100"/>
      </w:rPr>
    </w:lvl>
    <w:lvl w:ilvl="1" w:tentative="0">
      <w:start w:val="1"/>
      <w:numFmt w:val="decimal"/>
      <w:pStyle w:val="82"/>
      <w:suff w:val="nothing"/>
      <w:lvlText w:val="%1.%2　"/>
      <w:lvlJc w:val="left"/>
      <w:pPr>
        <w:ind w:left="0" w:firstLine="0"/>
      </w:pPr>
      <w:rPr>
        <w:rFonts w:hint="eastAsia" w:ascii="黑体" w:eastAsia="黑体"/>
        <w:b w:val="0"/>
        <w:i w:val="0"/>
        <w:sz w:val="21"/>
      </w:rPr>
    </w:lvl>
    <w:lvl w:ilvl="2" w:tentative="0">
      <w:start w:val="1"/>
      <w:numFmt w:val="decimal"/>
      <w:pStyle w:val="83"/>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86"/>
      <w:suff w:val="nothing"/>
      <w:lvlText w:val="%1.%2.%3.%4.%5　"/>
      <w:lvlJc w:val="left"/>
      <w:pPr>
        <w:ind w:left="0" w:firstLine="0"/>
      </w:pPr>
      <w:rPr>
        <w:rFonts w:hint="eastAsia" w:ascii="黑体" w:eastAsia="黑体"/>
        <w:b w:val="0"/>
        <w:i w:val="0"/>
        <w:sz w:val="21"/>
      </w:rPr>
    </w:lvl>
    <w:lvl w:ilvl="5" w:tentative="0">
      <w:start w:val="1"/>
      <w:numFmt w:val="decimal"/>
      <w:pStyle w:val="8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1">
    <w:nsid w:val="69506ABF"/>
    <w:multiLevelType w:val="multilevel"/>
    <w:tmpl w:val="69506ABF"/>
    <w:lvl w:ilvl="0" w:tentative="0">
      <w:start w:val="1"/>
      <w:numFmt w:val="bullet"/>
      <w:pStyle w:val="19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2">
    <w:nsid w:val="6CA41985"/>
    <w:multiLevelType w:val="multilevel"/>
    <w:tmpl w:val="6CA41985"/>
    <w:lvl w:ilvl="0" w:tentative="0">
      <w:start w:val="1"/>
      <w:numFmt w:val="decimal"/>
      <w:pStyle w:val="10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3">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6CEA2025"/>
    <w:multiLevelType w:val="multilevel"/>
    <w:tmpl w:val="6CEA2025"/>
    <w:lvl w:ilvl="0" w:tentative="0">
      <w:start w:val="1"/>
      <w:numFmt w:val="none"/>
      <w:pStyle w:val="156"/>
      <w:suff w:val="nothing"/>
      <w:lvlText w:val="%1"/>
      <w:lvlJc w:val="left"/>
      <w:pPr>
        <w:ind w:left="0" w:firstLine="0"/>
      </w:pPr>
      <w:rPr>
        <w:rFonts w:hint="eastAsia"/>
      </w:rPr>
    </w:lvl>
    <w:lvl w:ilvl="1" w:tentative="0">
      <w:start w:val="1"/>
      <w:numFmt w:val="decimal"/>
      <w:pStyle w:val="108"/>
      <w:suff w:val="nothing"/>
      <w:lvlText w:val="%1%2　"/>
      <w:lvlJc w:val="left"/>
      <w:pPr>
        <w:ind w:left="0" w:firstLine="0"/>
      </w:pPr>
      <w:rPr>
        <w:rFonts w:hint="eastAsia" w:ascii="黑体" w:eastAsia="黑体"/>
        <w:b w:val="0"/>
        <w:i w:val="0"/>
        <w:color w:val="auto"/>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pStyle w:val="102"/>
      <w:suff w:val="nothing"/>
      <w:lvlText w:val="%1%2.%3.%4.%5.%6　"/>
      <w:lvlJc w:val="left"/>
      <w:pPr>
        <w:ind w:left="0" w:firstLine="0"/>
      </w:pPr>
      <w:rPr>
        <w:rFonts w:hint="eastAsia" w:ascii="黑体" w:eastAsia="黑体"/>
        <w:b w:val="0"/>
        <w:i w:val="0"/>
        <w:sz w:val="21"/>
      </w:rPr>
    </w:lvl>
    <w:lvl w:ilvl="6" w:tentative="0">
      <w:start w:val="1"/>
      <w:numFmt w:val="decimal"/>
      <w:pStyle w:val="10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5">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6">
    <w:nsid w:val="6DF35F19"/>
    <w:multiLevelType w:val="multilevel"/>
    <w:tmpl w:val="6DF35F19"/>
    <w:lvl w:ilvl="0" w:tentative="0">
      <w:start w:val="1"/>
      <w:numFmt w:val="decimal"/>
      <w:pStyle w:val="11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7">
    <w:nsid w:val="6E994157"/>
    <w:multiLevelType w:val="multilevel"/>
    <w:tmpl w:val="6E994157"/>
    <w:lvl w:ilvl="0" w:tentative="0">
      <w:start w:val="1"/>
      <w:numFmt w:val="lowerLetter"/>
      <w:pStyle w:val="240"/>
      <w:lvlText w:val="%1)"/>
      <w:lvlJc w:val="left"/>
      <w:pPr>
        <w:tabs>
          <w:tab w:val="left" w:pos="840"/>
        </w:tabs>
        <w:ind w:left="839" w:hanging="419"/>
      </w:pPr>
      <w:rPr>
        <w:rFonts w:hint="default"/>
        <w:b w:val="0"/>
        <w:i w:val="0"/>
        <w:sz w:val="21"/>
        <w:szCs w:val="21"/>
      </w:rPr>
    </w:lvl>
    <w:lvl w:ilvl="1" w:tentative="0">
      <w:start w:val="1"/>
      <w:numFmt w:val="decimal"/>
      <w:pStyle w:val="239"/>
      <w:lvlText w:val="%2)"/>
      <w:lvlJc w:val="left"/>
      <w:pPr>
        <w:tabs>
          <w:tab w:val="left" w:pos="1260"/>
        </w:tabs>
        <w:ind w:left="1259" w:hanging="419"/>
      </w:pPr>
      <w:rPr>
        <w:rFonts w:hint="eastAsia"/>
      </w:rPr>
    </w:lvl>
    <w:lvl w:ilvl="2" w:tentative="0">
      <w:start w:val="1"/>
      <w:numFmt w:val="decimal"/>
      <w:pStyle w:val="241"/>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8">
    <w:nsid w:val="76933334"/>
    <w:multiLevelType w:val="multilevel"/>
    <w:tmpl w:val="76933334"/>
    <w:lvl w:ilvl="0" w:tentative="0">
      <w:start w:val="1"/>
      <w:numFmt w:val="none"/>
      <w:pStyle w:val="14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9">
    <w:nsid w:val="7D6E31A7"/>
    <w:multiLevelType w:val="multilevel"/>
    <w:tmpl w:val="7D6E31A7"/>
    <w:lvl w:ilvl="0" w:tentative="0">
      <w:start w:val="4"/>
      <w:numFmt w:val="decimal"/>
      <w:lvlText w:val="%1"/>
      <w:lvlJc w:val="left"/>
      <w:pPr>
        <w:ind w:left="525" w:hanging="525"/>
      </w:pPr>
      <w:rPr>
        <w:rFonts w:hint="default"/>
      </w:rPr>
    </w:lvl>
    <w:lvl w:ilvl="1" w:tentative="0">
      <w:start w:val="6"/>
      <w:numFmt w:val="decimal"/>
      <w:lvlText w:val="%1.%2"/>
      <w:lvlJc w:val="left"/>
      <w:pPr>
        <w:ind w:left="525" w:hanging="525"/>
      </w:pPr>
      <w:rPr>
        <w:rFonts w:hint="default"/>
      </w:rPr>
    </w:lvl>
    <w:lvl w:ilvl="2" w:tentative="0">
      <w:start w:val="1"/>
      <w:numFmt w:val="decimal"/>
      <w:lvlText w:val="%1.%2.%3"/>
      <w:lvlJc w:val="left"/>
      <w:pPr>
        <w:ind w:left="720" w:hanging="720"/>
      </w:pPr>
      <w:rPr>
        <w:rFonts w:hint="default" w:ascii="黑体" w:hAnsi="黑体" w:eastAsia="黑体"/>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num w:numId="1">
    <w:abstractNumId w:val="2"/>
  </w:num>
  <w:num w:numId="2">
    <w:abstractNumId w:val="8"/>
  </w:num>
  <w:num w:numId="3">
    <w:abstractNumId w:val="30"/>
  </w:num>
  <w:num w:numId="4">
    <w:abstractNumId w:val="24"/>
  </w:num>
  <w:num w:numId="5">
    <w:abstractNumId w:val="19"/>
  </w:num>
  <w:num w:numId="6">
    <w:abstractNumId w:val="11"/>
  </w:num>
  <w:num w:numId="7">
    <w:abstractNumId w:val="6"/>
  </w:num>
  <w:num w:numId="8">
    <w:abstractNumId w:val="12"/>
  </w:num>
  <w:num w:numId="9">
    <w:abstractNumId w:val="22"/>
  </w:num>
  <w:num w:numId="10">
    <w:abstractNumId w:val="32"/>
  </w:num>
  <w:num w:numId="11">
    <w:abstractNumId w:val="34"/>
  </w:num>
  <w:num w:numId="12">
    <w:abstractNumId w:val="16"/>
  </w:num>
  <w:num w:numId="13">
    <w:abstractNumId w:val="18"/>
  </w:num>
  <w:num w:numId="14">
    <w:abstractNumId w:val="10"/>
  </w:num>
  <w:num w:numId="15">
    <w:abstractNumId w:val="25"/>
  </w:num>
  <w:num w:numId="16">
    <w:abstractNumId w:val="28"/>
  </w:num>
  <w:num w:numId="17">
    <w:abstractNumId w:val="23"/>
  </w:num>
  <w:num w:numId="18">
    <w:abstractNumId w:val="36"/>
  </w:num>
  <w:num w:numId="19">
    <w:abstractNumId w:val="21"/>
  </w:num>
  <w:num w:numId="20">
    <w:abstractNumId w:val="3"/>
  </w:num>
  <w:num w:numId="21">
    <w:abstractNumId w:val="15"/>
  </w:num>
  <w:num w:numId="22">
    <w:abstractNumId w:val="38"/>
  </w:num>
  <w:num w:numId="23">
    <w:abstractNumId w:val="27"/>
  </w:num>
  <w:num w:numId="24">
    <w:abstractNumId w:val="9"/>
  </w:num>
  <w:num w:numId="25">
    <w:abstractNumId w:val="33"/>
  </w:num>
  <w:num w:numId="26">
    <w:abstractNumId w:val="35"/>
  </w:num>
  <w:num w:numId="27">
    <w:abstractNumId w:val="5"/>
  </w:num>
  <w:num w:numId="28">
    <w:abstractNumId w:val="7"/>
  </w:num>
  <w:num w:numId="29">
    <w:abstractNumId w:val="20"/>
  </w:num>
  <w:num w:numId="30">
    <w:abstractNumId w:val="31"/>
  </w:num>
  <w:num w:numId="31">
    <w:abstractNumId w:val="29"/>
  </w:num>
  <w:num w:numId="32">
    <w:abstractNumId w:val="17"/>
  </w:num>
  <w:num w:numId="33">
    <w:abstractNumId w:val="37"/>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num>
  <w:num w:numId="38">
    <w:abstractNumId w:val="4"/>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num>
  <w:num w:numId="41">
    <w:abstractNumId w:val="26"/>
  </w:num>
  <w:num w:numId="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Q5ZWRjZThmODA2NmJkM2EyYmQ4NDBhZjRmMmI0NzYifQ=="/>
  </w:docVars>
  <w:rsids>
    <w:rsidRoot w:val="00562D0C"/>
    <w:rsid w:val="0000040A"/>
    <w:rsid w:val="00000A94"/>
    <w:rsid w:val="00001972"/>
    <w:rsid w:val="00001D9A"/>
    <w:rsid w:val="0000611F"/>
    <w:rsid w:val="00007B3A"/>
    <w:rsid w:val="00007F93"/>
    <w:rsid w:val="000107E0"/>
    <w:rsid w:val="00011FDE"/>
    <w:rsid w:val="00012FFD"/>
    <w:rsid w:val="00014162"/>
    <w:rsid w:val="00014340"/>
    <w:rsid w:val="00016A9C"/>
    <w:rsid w:val="0001761F"/>
    <w:rsid w:val="00022184"/>
    <w:rsid w:val="00022762"/>
    <w:rsid w:val="000238E0"/>
    <w:rsid w:val="000249DB"/>
    <w:rsid w:val="0002595E"/>
    <w:rsid w:val="000303C3"/>
    <w:rsid w:val="0003099E"/>
    <w:rsid w:val="000331D3"/>
    <w:rsid w:val="000346A5"/>
    <w:rsid w:val="000359C3"/>
    <w:rsid w:val="00035A7D"/>
    <w:rsid w:val="000410E8"/>
    <w:rsid w:val="0004249A"/>
    <w:rsid w:val="00043282"/>
    <w:rsid w:val="00044286"/>
    <w:rsid w:val="00047E1C"/>
    <w:rsid w:val="00047F28"/>
    <w:rsid w:val="00047F8C"/>
    <w:rsid w:val="000503AA"/>
    <w:rsid w:val="000506A1"/>
    <w:rsid w:val="000507DF"/>
    <w:rsid w:val="00051249"/>
    <w:rsid w:val="000515DD"/>
    <w:rsid w:val="0005265A"/>
    <w:rsid w:val="000539DD"/>
    <w:rsid w:val="00053BD3"/>
    <w:rsid w:val="000556ED"/>
    <w:rsid w:val="00055FE2"/>
    <w:rsid w:val="0005616F"/>
    <w:rsid w:val="00060705"/>
    <w:rsid w:val="00060C2E"/>
    <w:rsid w:val="00061033"/>
    <w:rsid w:val="000619E9"/>
    <w:rsid w:val="000622D4"/>
    <w:rsid w:val="0006357D"/>
    <w:rsid w:val="00067F1E"/>
    <w:rsid w:val="00071CC0"/>
    <w:rsid w:val="00073C8C"/>
    <w:rsid w:val="00075F47"/>
    <w:rsid w:val="00077B64"/>
    <w:rsid w:val="00077F2F"/>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3E40"/>
    <w:rsid w:val="000A7311"/>
    <w:rsid w:val="000B060F"/>
    <w:rsid w:val="000B1592"/>
    <w:rsid w:val="000B1FF2"/>
    <w:rsid w:val="000B3CDA"/>
    <w:rsid w:val="000B6A0B"/>
    <w:rsid w:val="000C0BB6"/>
    <w:rsid w:val="000C0F6C"/>
    <w:rsid w:val="000C11DB"/>
    <w:rsid w:val="000C1492"/>
    <w:rsid w:val="000C2FBD"/>
    <w:rsid w:val="000C4B41"/>
    <w:rsid w:val="000C57D6"/>
    <w:rsid w:val="000C7666"/>
    <w:rsid w:val="000D0A9C"/>
    <w:rsid w:val="000D1795"/>
    <w:rsid w:val="000D2F41"/>
    <w:rsid w:val="000D329A"/>
    <w:rsid w:val="000D4B9C"/>
    <w:rsid w:val="000D4EB6"/>
    <w:rsid w:val="000D753B"/>
    <w:rsid w:val="000E4C9E"/>
    <w:rsid w:val="000E6FD7"/>
    <w:rsid w:val="000E74F4"/>
    <w:rsid w:val="000F06E1"/>
    <w:rsid w:val="000F0E3C"/>
    <w:rsid w:val="000F19D5"/>
    <w:rsid w:val="000F4AEA"/>
    <w:rsid w:val="000F67E9"/>
    <w:rsid w:val="00104926"/>
    <w:rsid w:val="00113B1E"/>
    <w:rsid w:val="001156AC"/>
    <w:rsid w:val="0011711C"/>
    <w:rsid w:val="00123CE8"/>
    <w:rsid w:val="00124DDE"/>
    <w:rsid w:val="00124E4F"/>
    <w:rsid w:val="001260B7"/>
    <w:rsid w:val="001265CB"/>
    <w:rsid w:val="001321C6"/>
    <w:rsid w:val="001325C4"/>
    <w:rsid w:val="00133010"/>
    <w:rsid w:val="001334E3"/>
    <w:rsid w:val="001338EE"/>
    <w:rsid w:val="00133AAE"/>
    <w:rsid w:val="00135323"/>
    <w:rsid w:val="001356C4"/>
    <w:rsid w:val="00141114"/>
    <w:rsid w:val="00142969"/>
    <w:rsid w:val="001457E7"/>
    <w:rsid w:val="00145D9D"/>
    <w:rsid w:val="00146388"/>
    <w:rsid w:val="001500B6"/>
    <w:rsid w:val="001529E5"/>
    <w:rsid w:val="00153C7E"/>
    <w:rsid w:val="00156B25"/>
    <w:rsid w:val="00156E1A"/>
    <w:rsid w:val="00157B55"/>
    <w:rsid w:val="001642FA"/>
    <w:rsid w:val="001649EB"/>
    <w:rsid w:val="00164BAF"/>
    <w:rsid w:val="00164FA8"/>
    <w:rsid w:val="00165065"/>
    <w:rsid w:val="00165434"/>
    <w:rsid w:val="0016580B"/>
    <w:rsid w:val="00165F49"/>
    <w:rsid w:val="00166B88"/>
    <w:rsid w:val="00167037"/>
    <w:rsid w:val="0016770A"/>
    <w:rsid w:val="00167FB8"/>
    <w:rsid w:val="00170804"/>
    <w:rsid w:val="001708E9"/>
    <w:rsid w:val="0017340B"/>
    <w:rsid w:val="00173FB1"/>
    <w:rsid w:val="00176DFD"/>
    <w:rsid w:val="00181F99"/>
    <w:rsid w:val="001852C9"/>
    <w:rsid w:val="00190087"/>
    <w:rsid w:val="001913C4"/>
    <w:rsid w:val="0019348F"/>
    <w:rsid w:val="00193A07"/>
    <w:rsid w:val="00194C95"/>
    <w:rsid w:val="00195C34"/>
    <w:rsid w:val="001A1A53"/>
    <w:rsid w:val="001A234A"/>
    <w:rsid w:val="001A774B"/>
    <w:rsid w:val="001B06E8"/>
    <w:rsid w:val="001B193E"/>
    <w:rsid w:val="001B71D0"/>
    <w:rsid w:val="001B71EE"/>
    <w:rsid w:val="001C04A8"/>
    <w:rsid w:val="001C2C03"/>
    <w:rsid w:val="001C42F7"/>
    <w:rsid w:val="001C488D"/>
    <w:rsid w:val="001C49E5"/>
    <w:rsid w:val="001C680C"/>
    <w:rsid w:val="001C7FEA"/>
    <w:rsid w:val="001D0499"/>
    <w:rsid w:val="001D0BBE"/>
    <w:rsid w:val="001D0ED4"/>
    <w:rsid w:val="001D212F"/>
    <w:rsid w:val="001D29D7"/>
    <w:rsid w:val="001D29FB"/>
    <w:rsid w:val="001D2DE7"/>
    <w:rsid w:val="001D411C"/>
    <w:rsid w:val="001E1B6A"/>
    <w:rsid w:val="001E2484"/>
    <w:rsid w:val="001E3CC4"/>
    <w:rsid w:val="001E4882"/>
    <w:rsid w:val="001E73AB"/>
    <w:rsid w:val="001F092D"/>
    <w:rsid w:val="001F143A"/>
    <w:rsid w:val="001F1605"/>
    <w:rsid w:val="001F19B2"/>
    <w:rsid w:val="001F2508"/>
    <w:rsid w:val="001F29AF"/>
    <w:rsid w:val="001F467D"/>
    <w:rsid w:val="001F4816"/>
    <w:rsid w:val="001F69B4"/>
    <w:rsid w:val="001F77C7"/>
    <w:rsid w:val="00200183"/>
    <w:rsid w:val="0020049A"/>
    <w:rsid w:val="0020107D"/>
    <w:rsid w:val="00202AA4"/>
    <w:rsid w:val="002031F7"/>
    <w:rsid w:val="002040E6"/>
    <w:rsid w:val="0020527B"/>
    <w:rsid w:val="00205F2C"/>
    <w:rsid w:val="00210599"/>
    <w:rsid w:val="00210B15"/>
    <w:rsid w:val="00211DA9"/>
    <w:rsid w:val="002142EA"/>
    <w:rsid w:val="002204BB"/>
    <w:rsid w:val="00221B79"/>
    <w:rsid w:val="00221C6B"/>
    <w:rsid w:val="00224596"/>
    <w:rsid w:val="002253A1"/>
    <w:rsid w:val="00225CF8"/>
    <w:rsid w:val="0022718D"/>
    <w:rsid w:val="0022794E"/>
    <w:rsid w:val="00232876"/>
    <w:rsid w:val="00233D64"/>
    <w:rsid w:val="00234784"/>
    <w:rsid w:val="0023482A"/>
    <w:rsid w:val="002359CB"/>
    <w:rsid w:val="00243540"/>
    <w:rsid w:val="0024497B"/>
    <w:rsid w:val="0024515B"/>
    <w:rsid w:val="00246021"/>
    <w:rsid w:val="0024666E"/>
    <w:rsid w:val="00247F52"/>
    <w:rsid w:val="00250B25"/>
    <w:rsid w:val="00250BBE"/>
    <w:rsid w:val="002515C2"/>
    <w:rsid w:val="0025194F"/>
    <w:rsid w:val="00251B18"/>
    <w:rsid w:val="00253CA5"/>
    <w:rsid w:val="0026148A"/>
    <w:rsid w:val="00262696"/>
    <w:rsid w:val="002634BC"/>
    <w:rsid w:val="002643C3"/>
    <w:rsid w:val="00264A0C"/>
    <w:rsid w:val="00267EF4"/>
    <w:rsid w:val="00270CB8"/>
    <w:rsid w:val="00272B08"/>
    <w:rsid w:val="00281BB8"/>
    <w:rsid w:val="00281D06"/>
    <w:rsid w:val="00281E9E"/>
    <w:rsid w:val="00281FE3"/>
    <w:rsid w:val="00285170"/>
    <w:rsid w:val="00285361"/>
    <w:rsid w:val="00292D60"/>
    <w:rsid w:val="00293D0F"/>
    <w:rsid w:val="00294988"/>
    <w:rsid w:val="00294D34"/>
    <w:rsid w:val="00294E3B"/>
    <w:rsid w:val="00296193"/>
    <w:rsid w:val="00296279"/>
    <w:rsid w:val="00296C66"/>
    <w:rsid w:val="00296EBE"/>
    <w:rsid w:val="002974E3"/>
    <w:rsid w:val="002A084B"/>
    <w:rsid w:val="002A1260"/>
    <w:rsid w:val="002A1589"/>
    <w:rsid w:val="002A1608"/>
    <w:rsid w:val="002A231A"/>
    <w:rsid w:val="002A25DC"/>
    <w:rsid w:val="002A3AAB"/>
    <w:rsid w:val="002A4CEA"/>
    <w:rsid w:val="002A5977"/>
    <w:rsid w:val="002A5A13"/>
    <w:rsid w:val="002A757F"/>
    <w:rsid w:val="002A7F44"/>
    <w:rsid w:val="002B0C40"/>
    <w:rsid w:val="002B1966"/>
    <w:rsid w:val="002B23E3"/>
    <w:rsid w:val="002B4508"/>
    <w:rsid w:val="002B5779"/>
    <w:rsid w:val="002B7332"/>
    <w:rsid w:val="002B7416"/>
    <w:rsid w:val="002B7F51"/>
    <w:rsid w:val="002C09E7"/>
    <w:rsid w:val="002C3F07"/>
    <w:rsid w:val="002C5278"/>
    <w:rsid w:val="002C7EBB"/>
    <w:rsid w:val="002D06C1"/>
    <w:rsid w:val="002D2C2A"/>
    <w:rsid w:val="002D42B5"/>
    <w:rsid w:val="002D4F1A"/>
    <w:rsid w:val="002D6DA6"/>
    <w:rsid w:val="002D6EC6"/>
    <w:rsid w:val="002D79AC"/>
    <w:rsid w:val="002E039D"/>
    <w:rsid w:val="002E1C68"/>
    <w:rsid w:val="002E4D5A"/>
    <w:rsid w:val="002E6326"/>
    <w:rsid w:val="002F10A5"/>
    <w:rsid w:val="002F30E0"/>
    <w:rsid w:val="002F35E4"/>
    <w:rsid w:val="002F3730"/>
    <w:rsid w:val="002F38E1"/>
    <w:rsid w:val="002F5DFA"/>
    <w:rsid w:val="002F7AF6"/>
    <w:rsid w:val="00300E63"/>
    <w:rsid w:val="00302F5F"/>
    <w:rsid w:val="0030441D"/>
    <w:rsid w:val="00306063"/>
    <w:rsid w:val="00306A73"/>
    <w:rsid w:val="00313B85"/>
    <w:rsid w:val="00317988"/>
    <w:rsid w:val="003221B4"/>
    <w:rsid w:val="00322E62"/>
    <w:rsid w:val="00324EDD"/>
    <w:rsid w:val="003331E4"/>
    <w:rsid w:val="003338AE"/>
    <w:rsid w:val="00336C64"/>
    <w:rsid w:val="00337162"/>
    <w:rsid w:val="0034194F"/>
    <w:rsid w:val="00342DB8"/>
    <w:rsid w:val="003437FF"/>
    <w:rsid w:val="00344605"/>
    <w:rsid w:val="003474AA"/>
    <w:rsid w:val="00350D1D"/>
    <w:rsid w:val="00351901"/>
    <w:rsid w:val="00352C83"/>
    <w:rsid w:val="00357BEE"/>
    <w:rsid w:val="003615D2"/>
    <w:rsid w:val="0036429C"/>
    <w:rsid w:val="00364A53"/>
    <w:rsid w:val="003654CB"/>
    <w:rsid w:val="00365F86"/>
    <w:rsid w:val="00365F87"/>
    <w:rsid w:val="003705F4"/>
    <w:rsid w:val="00370D58"/>
    <w:rsid w:val="00371316"/>
    <w:rsid w:val="00376713"/>
    <w:rsid w:val="00381815"/>
    <w:rsid w:val="003819AF"/>
    <w:rsid w:val="003820E9"/>
    <w:rsid w:val="00382C3E"/>
    <w:rsid w:val="00382DE7"/>
    <w:rsid w:val="003844A6"/>
    <w:rsid w:val="00384FFC"/>
    <w:rsid w:val="00385193"/>
    <w:rsid w:val="003872FC"/>
    <w:rsid w:val="00387ADC"/>
    <w:rsid w:val="00390020"/>
    <w:rsid w:val="003903D6"/>
    <w:rsid w:val="00390EE6"/>
    <w:rsid w:val="0039118F"/>
    <w:rsid w:val="00392AD7"/>
    <w:rsid w:val="003938D9"/>
    <w:rsid w:val="00394376"/>
    <w:rsid w:val="003943FF"/>
    <w:rsid w:val="003974EB"/>
    <w:rsid w:val="00397CC5"/>
    <w:rsid w:val="003A1582"/>
    <w:rsid w:val="003A1F15"/>
    <w:rsid w:val="003A4077"/>
    <w:rsid w:val="003B09AD"/>
    <w:rsid w:val="003B0BD9"/>
    <w:rsid w:val="003B1F18"/>
    <w:rsid w:val="003B5BF0"/>
    <w:rsid w:val="003B60BF"/>
    <w:rsid w:val="003B6BE3"/>
    <w:rsid w:val="003C010C"/>
    <w:rsid w:val="003C0A6C"/>
    <w:rsid w:val="003C2859"/>
    <w:rsid w:val="003C3624"/>
    <w:rsid w:val="003C5A43"/>
    <w:rsid w:val="003D0519"/>
    <w:rsid w:val="003D0FF6"/>
    <w:rsid w:val="003D238F"/>
    <w:rsid w:val="003D262C"/>
    <w:rsid w:val="003D6D61"/>
    <w:rsid w:val="003E091D"/>
    <w:rsid w:val="003E1C53"/>
    <w:rsid w:val="003E2A69"/>
    <w:rsid w:val="003E2D49"/>
    <w:rsid w:val="003E2FD4"/>
    <w:rsid w:val="003E44C9"/>
    <w:rsid w:val="003E49F6"/>
    <w:rsid w:val="003F0841"/>
    <w:rsid w:val="003F12D5"/>
    <w:rsid w:val="003F23D3"/>
    <w:rsid w:val="003F27BC"/>
    <w:rsid w:val="003F3F08"/>
    <w:rsid w:val="003F49F1"/>
    <w:rsid w:val="003F6272"/>
    <w:rsid w:val="003F72A3"/>
    <w:rsid w:val="00400E72"/>
    <w:rsid w:val="00401400"/>
    <w:rsid w:val="00404869"/>
    <w:rsid w:val="00405884"/>
    <w:rsid w:val="004067F9"/>
    <w:rsid w:val="00407D39"/>
    <w:rsid w:val="0041477A"/>
    <w:rsid w:val="004167A3"/>
    <w:rsid w:val="00432DAA"/>
    <w:rsid w:val="00434305"/>
    <w:rsid w:val="00435DF7"/>
    <w:rsid w:val="0044083F"/>
    <w:rsid w:val="00441AE7"/>
    <w:rsid w:val="00445574"/>
    <w:rsid w:val="004467FB"/>
    <w:rsid w:val="00452D6B"/>
    <w:rsid w:val="00454418"/>
    <w:rsid w:val="00454484"/>
    <w:rsid w:val="0045473C"/>
    <w:rsid w:val="0045517B"/>
    <w:rsid w:val="004563CD"/>
    <w:rsid w:val="00463B77"/>
    <w:rsid w:val="00463C7B"/>
    <w:rsid w:val="00463F02"/>
    <w:rsid w:val="004644A6"/>
    <w:rsid w:val="004659BD"/>
    <w:rsid w:val="00470775"/>
    <w:rsid w:val="004715BD"/>
    <w:rsid w:val="004746B1"/>
    <w:rsid w:val="0047583F"/>
    <w:rsid w:val="0048095A"/>
    <w:rsid w:val="00483590"/>
    <w:rsid w:val="00484936"/>
    <w:rsid w:val="00485C89"/>
    <w:rsid w:val="00486BE3"/>
    <w:rsid w:val="004874AA"/>
    <w:rsid w:val="0049044D"/>
    <w:rsid w:val="004905E4"/>
    <w:rsid w:val="00490A89"/>
    <w:rsid w:val="00490AB4"/>
    <w:rsid w:val="004920D8"/>
    <w:rsid w:val="00492F02"/>
    <w:rsid w:val="004939AE"/>
    <w:rsid w:val="004A12DF"/>
    <w:rsid w:val="004A1BA8"/>
    <w:rsid w:val="004A2CE8"/>
    <w:rsid w:val="004A383F"/>
    <w:rsid w:val="004A3AA7"/>
    <w:rsid w:val="004A4B57"/>
    <w:rsid w:val="004A63FA"/>
    <w:rsid w:val="004B0272"/>
    <w:rsid w:val="004B2701"/>
    <w:rsid w:val="004B2E1B"/>
    <w:rsid w:val="004B3E93"/>
    <w:rsid w:val="004C1FBC"/>
    <w:rsid w:val="004C3F1D"/>
    <w:rsid w:val="004C458D"/>
    <w:rsid w:val="004C7556"/>
    <w:rsid w:val="004C7E9D"/>
    <w:rsid w:val="004C7F67"/>
    <w:rsid w:val="004D076D"/>
    <w:rsid w:val="004D0EF1"/>
    <w:rsid w:val="004D189E"/>
    <w:rsid w:val="004D2253"/>
    <w:rsid w:val="004D4406"/>
    <w:rsid w:val="004D6F52"/>
    <w:rsid w:val="004D7C42"/>
    <w:rsid w:val="004E0465"/>
    <w:rsid w:val="004E0975"/>
    <w:rsid w:val="004E127B"/>
    <w:rsid w:val="004E1C0A"/>
    <w:rsid w:val="004E3014"/>
    <w:rsid w:val="004E30C5"/>
    <w:rsid w:val="004E4AA5"/>
    <w:rsid w:val="004E4AEE"/>
    <w:rsid w:val="004E59E3"/>
    <w:rsid w:val="004E626B"/>
    <w:rsid w:val="004E67C0"/>
    <w:rsid w:val="004F391A"/>
    <w:rsid w:val="004F3CFB"/>
    <w:rsid w:val="004F6456"/>
    <w:rsid w:val="004F696E"/>
    <w:rsid w:val="004F6C71"/>
    <w:rsid w:val="004F793D"/>
    <w:rsid w:val="00501139"/>
    <w:rsid w:val="00502991"/>
    <w:rsid w:val="0050363E"/>
    <w:rsid w:val="005039BC"/>
    <w:rsid w:val="005043BB"/>
    <w:rsid w:val="00504A3D"/>
    <w:rsid w:val="00505767"/>
    <w:rsid w:val="005073F0"/>
    <w:rsid w:val="00510A7B"/>
    <w:rsid w:val="00512F6E"/>
    <w:rsid w:val="00513038"/>
    <w:rsid w:val="005130D9"/>
    <w:rsid w:val="00514174"/>
    <w:rsid w:val="00515827"/>
    <w:rsid w:val="00515B1D"/>
    <w:rsid w:val="00516088"/>
    <w:rsid w:val="00516B0B"/>
    <w:rsid w:val="005204B1"/>
    <w:rsid w:val="005207F4"/>
    <w:rsid w:val="005220EC"/>
    <w:rsid w:val="00523F95"/>
    <w:rsid w:val="00524D65"/>
    <w:rsid w:val="00525B16"/>
    <w:rsid w:val="00527092"/>
    <w:rsid w:val="00533D04"/>
    <w:rsid w:val="00534804"/>
    <w:rsid w:val="00534BDF"/>
    <w:rsid w:val="005354EA"/>
    <w:rsid w:val="00535EC4"/>
    <w:rsid w:val="00535ED9"/>
    <w:rsid w:val="005366D7"/>
    <w:rsid w:val="0053692B"/>
    <w:rsid w:val="00541853"/>
    <w:rsid w:val="00543BDA"/>
    <w:rsid w:val="005441CC"/>
    <w:rsid w:val="005479DA"/>
    <w:rsid w:val="00547BCC"/>
    <w:rsid w:val="0055013B"/>
    <w:rsid w:val="00551F6F"/>
    <w:rsid w:val="00555044"/>
    <w:rsid w:val="00555ECF"/>
    <w:rsid w:val="00561475"/>
    <w:rsid w:val="00562A61"/>
    <w:rsid w:val="00562D0C"/>
    <w:rsid w:val="00563828"/>
    <w:rsid w:val="0056487B"/>
    <w:rsid w:val="00564FB9"/>
    <w:rsid w:val="00573D9E"/>
    <w:rsid w:val="005801E3"/>
    <w:rsid w:val="00581802"/>
    <w:rsid w:val="005836A8"/>
    <w:rsid w:val="005838CE"/>
    <w:rsid w:val="0058409C"/>
    <w:rsid w:val="00584262"/>
    <w:rsid w:val="00586630"/>
    <w:rsid w:val="00586939"/>
    <w:rsid w:val="00587ADD"/>
    <w:rsid w:val="00593544"/>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12B4"/>
    <w:rsid w:val="005C29B8"/>
    <w:rsid w:val="005C5F21"/>
    <w:rsid w:val="005C7156"/>
    <w:rsid w:val="005C72AD"/>
    <w:rsid w:val="005D0C75"/>
    <w:rsid w:val="005D1E63"/>
    <w:rsid w:val="005D3A4A"/>
    <w:rsid w:val="005D4171"/>
    <w:rsid w:val="005D6A95"/>
    <w:rsid w:val="005D6B2C"/>
    <w:rsid w:val="005D6BA1"/>
    <w:rsid w:val="005D6D9C"/>
    <w:rsid w:val="005E2335"/>
    <w:rsid w:val="005E34CA"/>
    <w:rsid w:val="005E3C18"/>
    <w:rsid w:val="005E4A76"/>
    <w:rsid w:val="005E6318"/>
    <w:rsid w:val="005E6812"/>
    <w:rsid w:val="005E6DEE"/>
    <w:rsid w:val="005E7829"/>
    <w:rsid w:val="005E7881"/>
    <w:rsid w:val="005E78E0"/>
    <w:rsid w:val="005F0D9C"/>
    <w:rsid w:val="005F284E"/>
    <w:rsid w:val="005F3E06"/>
    <w:rsid w:val="005F5DF0"/>
    <w:rsid w:val="00600753"/>
    <w:rsid w:val="006015CE"/>
    <w:rsid w:val="00602C03"/>
    <w:rsid w:val="00604784"/>
    <w:rsid w:val="00606419"/>
    <w:rsid w:val="00607D29"/>
    <w:rsid w:val="00612080"/>
    <w:rsid w:val="00612952"/>
    <w:rsid w:val="006141AB"/>
    <w:rsid w:val="00614CC1"/>
    <w:rsid w:val="00615A9D"/>
    <w:rsid w:val="00617387"/>
    <w:rsid w:val="006252D8"/>
    <w:rsid w:val="006259BC"/>
    <w:rsid w:val="0062636B"/>
    <w:rsid w:val="00632182"/>
    <w:rsid w:val="00632AE0"/>
    <w:rsid w:val="00633C17"/>
    <w:rsid w:val="0063498A"/>
    <w:rsid w:val="00636E3E"/>
    <w:rsid w:val="006379F7"/>
    <w:rsid w:val="00637E4D"/>
    <w:rsid w:val="00640620"/>
    <w:rsid w:val="0064193E"/>
    <w:rsid w:val="00641A1F"/>
    <w:rsid w:val="0064528D"/>
    <w:rsid w:val="00645904"/>
    <w:rsid w:val="00651ACB"/>
    <w:rsid w:val="00651C47"/>
    <w:rsid w:val="00652AB2"/>
    <w:rsid w:val="00654EC0"/>
    <w:rsid w:val="0065525B"/>
    <w:rsid w:val="00655D4F"/>
    <w:rsid w:val="006640E5"/>
    <w:rsid w:val="006646F1"/>
    <w:rsid w:val="00664929"/>
    <w:rsid w:val="00664F62"/>
    <w:rsid w:val="006655E1"/>
    <w:rsid w:val="00666D42"/>
    <w:rsid w:val="00672060"/>
    <w:rsid w:val="00672BFD"/>
    <w:rsid w:val="00672C3A"/>
    <w:rsid w:val="006770F4"/>
    <w:rsid w:val="00677A84"/>
    <w:rsid w:val="0068026D"/>
    <w:rsid w:val="00680A27"/>
    <w:rsid w:val="006816A4"/>
    <w:rsid w:val="006819B8"/>
    <w:rsid w:val="006840A6"/>
    <w:rsid w:val="006850CD"/>
    <w:rsid w:val="00685AAB"/>
    <w:rsid w:val="0068721F"/>
    <w:rsid w:val="00696822"/>
    <w:rsid w:val="006A07AA"/>
    <w:rsid w:val="006A25E5"/>
    <w:rsid w:val="006A2B46"/>
    <w:rsid w:val="006A336D"/>
    <w:rsid w:val="006A37B9"/>
    <w:rsid w:val="006A7D06"/>
    <w:rsid w:val="006B2672"/>
    <w:rsid w:val="006B54BF"/>
    <w:rsid w:val="006B5F44"/>
    <w:rsid w:val="006B5F90"/>
    <w:rsid w:val="006B62E4"/>
    <w:rsid w:val="006B6A43"/>
    <w:rsid w:val="006B7562"/>
    <w:rsid w:val="006C1BBA"/>
    <w:rsid w:val="006C2079"/>
    <w:rsid w:val="006C30E2"/>
    <w:rsid w:val="006C317D"/>
    <w:rsid w:val="006C5A62"/>
    <w:rsid w:val="006C5D68"/>
    <w:rsid w:val="006C6976"/>
    <w:rsid w:val="006C6DD0"/>
    <w:rsid w:val="006D04EA"/>
    <w:rsid w:val="006D060F"/>
    <w:rsid w:val="006D0EDA"/>
    <w:rsid w:val="006D16C4"/>
    <w:rsid w:val="006D248F"/>
    <w:rsid w:val="006D3E96"/>
    <w:rsid w:val="006D4515"/>
    <w:rsid w:val="006D45F6"/>
    <w:rsid w:val="006D4BB1"/>
    <w:rsid w:val="006D6593"/>
    <w:rsid w:val="006D686E"/>
    <w:rsid w:val="006F03A8"/>
    <w:rsid w:val="006F126C"/>
    <w:rsid w:val="006F2ACA"/>
    <w:rsid w:val="006F2ADC"/>
    <w:rsid w:val="006F2BFE"/>
    <w:rsid w:val="006F31E9"/>
    <w:rsid w:val="006F56E5"/>
    <w:rsid w:val="006F5D44"/>
    <w:rsid w:val="006F6284"/>
    <w:rsid w:val="007002C5"/>
    <w:rsid w:val="0070348B"/>
    <w:rsid w:val="00704387"/>
    <w:rsid w:val="00707669"/>
    <w:rsid w:val="00711CBA"/>
    <w:rsid w:val="00711FB5"/>
    <w:rsid w:val="00712A01"/>
    <w:rsid w:val="00714F58"/>
    <w:rsid w:val="00722FBF"/>
    <w:rsid w:val="00722FC2"/>
    <w:rsid w:val="007246C2"/>
    <w:rsid w:val="00725949"/>
    <w:rsid w:val="00727FA2"/>
    <w:rsid w:val="007322D9"/>
    <w:rsid w:val="00732BC0"/>
    <w:rsid w:val="00732F4E"/>
    <w:rsid w:val="00733C1F"/>
    <w:rsid w:val="0073720F"/>
    <w:rsid w:val="00737796"/>
    <w:rsid w:val="0074165C"/>
    <w:rsid w:val="00742C35"/>
    <w:rsid w:val="007432CA"/>
    <w:rsid w:val="007439EB"/>
    <w:rsid w:val="00743CB4"/>
    <w:rsid w:val="00743F0A"/>
    <w:rsid w:val="007444E8"/>
    <w:rsid w:val="00744A7D"/>
    <w:rsid w:val="0074548E"/>
    <w:rsid w:val="00745773"/>
    <w:rsid w:val="00746800"/>
    <w:rsid w:val="00747CF0"/>
    <w:rsid w:val="007501A8"/>
    <w:rsid w:val="00750EE1"/>
    <w:rsid w:val="00752B4D"/>
    <w:rsid w:val="00755402"/>
    <w:rsid w:val="00756B26"/>
    <w:rsid w:val="00756EDF"/>
    <w:rsid w:val="00765C43"/>
    <w:rsid w:val="00765EFB"/>
    <w:rsid w:val="007671CA"/>
    <w:rsid w:val="0076744F"/>
    <w:rsid w:val="00767C61"/>
    <w:rsid w:val="0077008A"/>
    <w:rsid w:val="00771203"/>
    <w:rsid w:val="00773C1F"/>
    <w:rsid w:val="00774DA4"/>
    <w:rsid w:val="00775DA1"/>
    <w:rsid w:val="00776599"/>
    <w:rsid w:val="0078114B"/>
    <w:rsid w:val="00781DD2"/>
    <w:rsid w:val="00783ECF"/>
    <w:rsid w:val="0078413A"/>
    <w:rsid w:val="00790EDA"/>
    <w:rsid w:val="007950C1"/>
    <w:rsid w:val="007959E8"/>
    <w:rsid w:val="00795E9C"/>
    <w:rsid w:val="00797BD3"/>
    <w:rsid w:val="007A0521"/>
    <w:rsid w:val="007A2AA1"/>
    <w:rsid w:val="007A2E12"/>
    <w:rsid w:val="007A3475"/>
    <w:rsid w:val="007A41C8"/>
    <w:rsid w:val="007A47AE"/>
    <w:rsid w:val="007A54CE"/>
    <w:rsid w:val="007A6FD9"/>
    <w:rsid w:val="007A7FFA"/>
    <w:rsid w:val="007B04EB"/>
    <w:rsid w:val="007B0D4F"/>
    <w:rsid w:val="007B10B4"/>
    <w:rsid w:val="007B2CD6"/>
    <w:rsid w:val="007B5A3D"/>
    <w:rsid w:val="007B5B95"/>
    <w:rsid w:val="007B68EA"/>
    <w:rsid w:val="007B6BE1"/>
    <w:rsid w:val="007B7453"/>
    <w:rsid w:val="007C2D89"/>
    <w:rsid w:val="007C4593"/>
    <w:rsid w:val="007C5309"/>
    <w:rsid w:val="007C6069"/>
    <w:rsid w:val="007D06C4"/>
    <w:rsid w:val="007D1352"/>
    <w:rsid w:val="007D2508"/>
    <w:rsid w:val="007D346A"/>
    <w:rsid w:val="007D6309"/>
    <w:rsid w:val="007D6518"/>
    <w:rsid w:val="007D76BD"/>
    <w:rsid w:val="007E0BF1"/>
    <w:rsid w:val="007E0D02"/>
    <w:rsid w:val="007E258B"/>
    <w:rsid w:val="007E25E4"/>
    <w:rsid w:val="007E6810"/>
    <w:rsid w:val="007F0ED8"/>
    <w:rsid w:val="007F0F63"/>
    <w:rsid w:val="007F3748"/>
    <w:rsid w:val="007F54FB"/>
    <w:rsid w:val="007F75CE"/>
    <w:rsid w:val="008013A4"/>
    <w:rsid w:val="008027CE"/>
    <w:rsid w:val="00802F42"/>
    <w:rsid w:val="00804383"/>
    <w:rsid w:val="00804BB7"/>
    <w:rsid w:val="00810257"/>
    <w:rsid w:val="008104E7"/>
    <w:rsid w:val="008104F5"/>
    <w:rsid w:val="0081075B"/>
    <w:rsid w:val="00811072"/>
    <w:rsid w:val="00811369"/>
    <w:rsid w:val="00815419"/>
    <w:rsid w:val="00815C26"/>
    <w:rsid w:val="008163C8"/>
    <w:rsid w:val="008164A1"/>
    <w:rsid w:val="00817325"/>
    <w:rsid w:val="008209E6"/>
    <w:rsid w:val="00821043"/>
    <w:rsid w:val="00821C8F"/>
    <w:rsid w:val="00823303"/>
    <w:rsid w:val="008233B2"/>
    <w:rsid w:val="00823A9F"/>
    <w:rsid w:val="00823C85"/>
    <w:rsid w:val="00825138"/>
    <w:rsid w:val="00825A22"/>
    <w:rsid w:val="008269DD"/>
    <w:rsid w:val="00826FBB"/>
    <w:rsid w:val="00830621"/>
    <w:rsid w:val="0083348C"/>
    <w:rsid w:val="008373D3"/>
    <w:rsid w:val="00840617"/>
    <w:rsid w:val="00842A47"/>
    <w:rsid w:val="00843C13"/>
    <w:rsid w:val="008454F8"/>
    <w:rsid w:val="00850122"/>
    <w:rsid w:val="0085173A"/>
    <w:rsid w:val="00854343"/>
    <w:rsid w:val="00856044"/>
    <w:rsid w:val="00860297"/>
    <w:rsid w:val="008603CE"/>
    <w:rsid w:val="008620FC"/>
    <w:rsid w:val="008627A5"/>
    <w:rsid w:val="00863E05"/>
    <w:rsid w:val="0086431E"/>
    <w:rsid w:val="00865ACA"/>
    <w:rsid w:val="00865D28"/>
    <w:rsid w:val="00865F85"/>
    <w:rsid w:val="00867C10"/>
    <w:rsid w:val="00870439"/>
    <w:rsid w:val="00870DA1"/>
    <w:rsid w:val="00883F93"/>
    <w:rsid w:val="00884DB3"/>
    <w:rsid w:val="00885A9D"/>
    <w:rsid w:val="008864F6"/>
    <w:rsid w:val="0089049D"/>
    <w:rsid w:val="008928C9"/>
    <w:rsid w:val="008938DC"/>
    <w:rsid w:val="00893FD1"/>
    <w:rsid w:val="00894836"/>
    <w:rsid w:val="00895172"/>
    <w:rsid w:val="00895680"/>
    <w:rsid w:val="00896DFF"/>
    <w:rsid w:val="0089762C"/>
    <w:rsid w:val="008A1893"/>
    <w:rsid w:val="008A2493"/>
    <w:rsid w:val="008A6075"/>
    <w:rsid w:val="008A769A"/>
    <w:rsid w:val="008B0C9C"/>
    <w:rsid w:val="008B1365"/>
    <w:rsid w:val="008B166D"/>
    <w:rsid w:val="008B17F4"/>
    <w:rsid w:val="008B3615"/>
    <w:rsid w:val="008B4AC4"/>
    <w:rsid w:val="008B50C8"/>
    <w:rsid w:val="008B5281"/>
    <w:rsid w:val="008B7E05"/>
    <w:rsid w:val="008C1797"/>
    <w:rsid w:val="008C19AD"/>
    <w:rsid w:val="008C219C"/>
    <w:rsid w:val="008C475E"/>
    <w:rsid w:val="008C4767"/>
    <w:rsid w:val="008C619A"/>
    <w:rsid w:val="008C6916"/>
    <w:rsid w:val="008C76DC"/>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66E"/>
    <w:rsid w:val="008F17A3"/>
    <w:rsid w:val="008F1ED3"/>
    <w:rsid w:val="008F4C29"/>
    <w:rsid w:val="008F58DC"/>
    <w:rsid w:val="008F70BD"/>
    <w:rsid w:val="008F788F"/>
    <w:rsid w:val="008F7EA2"/>
    <w:rsid w:val="00902722"/>
    <w:rsid w:val="009027BC"/>
    <w:rsid w:val="0090481A"/>
    <w:rsid w:val="009062E6"/>
    <w:rsid w:val="00911BE5"/>
    <w:rsid w:val="00913CA9"/>
    <w:rsid w:val="009145AE"/>
    <w:rsid w:val="009146CE"/>
    <w:rsid w:val="00914CA7"/>
    <w:rsid w:val="00915C3E"/>
    <w:rsid w:val="009161A8"/>
    <w:rsid w:val="009245F5"/>
    <w:rsid w:val="009249EC"/>
    <w:rsid w:val="009269D3"/>
    <w:rsid w:val="009273B3"/>
    <w:rsid w:val="0093036F"/>
    <w:rsid w:val="009305B5"/>
    <w:rsid w:val="009346DD"/>
    <w:rsid w:val="00941FA3"/>
    <w:rsid w:val="009429D5"/>
    <w:rsid w:val="00942BF1"/>
    <w:rsid w:val="00945180"/>
    <w:rsid w:val="00945428"/>
    <w:rsid w:val="0094607B"/>
    <w:rsid w:val="00953604"/>
    <w:rsid w:val="0095496B"/>
    <w:rsid w:val="009610DC"/>
    <w:rsid w:val="00961490"/>
    <w:rsid w:val="009630AB"/>
    <w:rsid w:val="0096381A"/>
    <w:rsid w:val="00965E04"/>
    <w:rsid w:val="009674AD"/>
    <w:rsid w:val="00970CDC"/>
    <w:rsid w:val="009726EC"/>
    <w:rsid w:val="00977010"/>
    <w:rsid w:val="00977D02"/>
    <w:rsid w:val="009809BB"/>
    <w:rsid w:val="00981D82"/>
    <w:rsid w:val="0098364B"/>
    <w:rsid w:val="009911AF"/>
    <w:rsid w:val="00991875"/>
    <w:rsid w:val="00991F92"/>
    <w:rsid w:val="00992985"/>
    <w:rsid w:val="009932D9"/>
    <w:rsid w:val="00993889"/>
    <w:rsid w:val="00994782"/>
    <w:rsid w:val="0099551B"/>
    <w:rsid w:val="00997BF1"/>
    <w:rsid w:val="009A089C"/>
    <w:rsid w:val="009A118E"/>
    <w:rsid w:val="009A21CD"/>
    <w:rsid w:val="009A26C4"/>
    <w:rsid w:val="009A278C"/>
    <w:rsid w:val="009A2BC2"/>
    <w:rsid w:val="009A42C1"/>
    <w:rsid w:val="009A5429"/>
    <w:rsid w:val="009A5489"/>
    <w:rsid w:val="009A72AD"/>
    <w:rsid w:val="009B09E0"/>
    <w:rsid w:val="009B0BC5"/>
    <w:rsid w:val="009B1247"/>
    <w:rsid w:val="009B31D5"/>
    <w:rsid w:val="009B6029"/>
    <w:rsid w:val="009B6464"/>
    <w:rsid w:val="009B64F4"/>
    <w:rsid w:val="009B6971"/>
    <w:rsid w:val="009C27F1"/>
    <w:rsid w:val="009C3152"/>
    <w:rsid w:val="009C4730"/>
    <w:rsid w:val="009C4CFA"/>
    <w:rsid w:val="009C5070"/>
    <w:rsid w:val="009D112C"/>
    <w:rsid w:val="009D47FA"/>
    <w:rsid w:val="009D50D2"/>
    <w:rsid w:val="009D6BCA"/>
    <w:rsid w:val="009D72B9"/>
    <w:rsid w:val="009E0F62"/>
    <w:rsid w:val="009E1848"/>
    <w:rsid w:val="009E4A58"/>
    <w:rsid w:val="009E5A2D"/>
    <w:rsid w:val="009E5AB2"/>
    <w:rsid w:val="009E6219"/>
    <w:rsid w:val="009F03B3"/>
    <w:rsid w:val="00A01757"/>
    <w:rsid w:val="00A01BE1"/>
    <w:rsid w:val="00A028C0"/>
    <w:rsid w:val="00A02BAE"/>
    <w:rsid w:val="00A05AA6"/>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729F"/>
    <w:rsid w:val="00A4006C"/>
    <w:rsid w:val="00A40091"/>
    <w:rsid w:val="00A4030F"/>
    <w:rsid w:val="00A41C79"/>
    <w:rsid w:val="00A41CB5"/>
    <w:rsid w:val="00A42CDF"/>
    <w:rsid w:val="00A4307B"/>
    <w:rsid w:val="00A4452E"/>
    <w:rsid w:val="00A4472C"/>
    <w:rsid w:val="00A44E69"/>
    <w:rsid w:val="00A4661E"/>
    <w:rsid w:val="00A55BD6"/>
    <w:rsid w:val="00A55D50"/>
    <w:rsid w:val="00A57142"/>
    <w:rsid w:val="00A61D48"/>
    <w:rsid w:val="00A648CD"/>
    <w:rsid w:val="00A6537A"/>
    <w:rsid w:val="00A67866"/>
    <w:rsid w:val="00A70B07"/>
    <w:rsid w:val="00A723F8"/>
    <w:rsid w:val="00A77CCB"/>
    <w:rsid w:val="00A80356"/>
    <w:rsid w:val="00A83D8D"/>
    <w:rsid w:val="00A83E19"/>
    <w:rsid w:val="00A8446B"/>
    <w:rsid w:val="00A8473F"/>
    <w:rsid w:val="00A862D6"/>
    <w:rsid w:val="00A8715E"/>
    <w:rsid w:val="00A87647"/>
    <w:rsid w:val="00A9295B"/>
    <w:rsid w:val="00A93B09"/>
    <w:rsid w:val="00A952D7"/>
    <w:rsid w:val="00A963F7"/>
    <w:rsid w:val="00A96AD8"/>
    <w:rsid w:val="00AA052C"/>
    <w:rsid w:val="00AA1E45"/>
    <w:rsid w:val="00AA30E6"/>
    <w:rsid w:val="00AA4286"/>
    <w:rsid w:val="00AA456B"/>
    <w:rsid w:val="00AA4BEA"/>
    <w:rsid w:val="00AA57F5"/>
    <w:rsid w:val="00AA672E"/>
    <w:rsid w:val="00AA6EC9"/>
    <w:rsid w:val="00AB1FE5"/>
    <w:rsid w:val="00AB43D6"/>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D89"/>
    <w:rsid w:val="00AD6863"/>
    <w:rsid w:val="00AD69F4"/>
    <w:rsid w:val="00AE070A"/>
    <w:rsid w:val="00AE0D6F"/>
    <w:rsid w:val="00AE101C"/>
    <w:rsid w:val="00AE232F"/>
    <w:rsid w:val="00AE5EB4"/>
    <w:rsid w:val="00AF0C18"/>
    <w:rsid w:val="00AF47C5"/>
    <w:rsid w:val="00AF5398"/>
    <w:rsid w:val="00B03AB4"/>
    <w:rsid w:val="00B049AF"/>
    <w:rsid w:val="00B07242"/>
    <w:rsid w:val="00B10534"/>
    <w:rsid w:val="00B10576"/>
    <w:rsid w:val="00B113DB"/>
    <w:rsid w:val="00B11D8A"/>
    <w:rsid w:val="00B12981"/>
    <w:rsid w:val="00B147DD"/>
    <w:rsid w:val="00B156FD"/>
    <w:rsid w:val="00B21F61"/>
    <w:rsid w:val="00B25FF8"/>
    <w:rsid w:val="00B261F1"/>
    <w:rsid w:val="00B262BD"/>
    <w:rsid w:val="00B265BC"/>
    <w:rsid w:val="00B31FB1"/>
    <w:rsid w:val="00B33952"/>
    <w:rsid w:val="00B33C5E"/>
    <w:rsid w:val="00B342F4"/>
    <w:rsid w:val="00B34369"/>
    <w:rsid w:val="00B34DC2"/>
    <w:rsid w:val="00B363EF"/>
    <w:rsid w:val="00B378E5"/>
    <w:rsid w:val="00B40EDF"/>
    <w:rsid w:val="00B4346D"/>
    <w:rsid w:val="00B440F4"/>
    <w:rsid w:val="00B44432"/>
    <w:rsid w:val="00B447A5"/>
    <w:rsid w:val="00B4654C"/>
    <w:rsid w:val="00B47293"/>
    <w:rsid w:val="00B50E50"/>
    <w:rsid w:val="00B52120"/>
    <w:rsid w:val="00B54ABC"/>
    <w:rsid w:val="00B56FBE"/>
    <w:rsid w:val="00B572EA"/>
    <w:rsid w:val="00B602A3"/>
    <w:rsid w:val="00B62B58"/>
    <w:rsid w:val="00B65149"/>
    <w:rsid w:val="00B66567"/>
    <w:rsid w:val="00B66F52"/>
    <w:rsid w:val="00B66FE5"/>
    <w:rsid w:val="00B72880"/>
    <w:rsid w:val="00B758BF"/>
    <w:rsid w:val="00B76B31"/>
    <w:rsid w:val="00B81099"/>
    <w:rsid w:val="00B8211B"/>
    <w:rsid w:val="00B827A6"/>
    <w:rsid w:val="00B831CE"/>
    <w:rsid w:val="00B86677"/>
    <w:rsid w:val="00B87131"/>
    <w:rsid w:val="00B939B1"/>
    <w:rsid w:val="00B96D40"/>
    <w:rsid w:val="00B97386"/>
    <w:rsid w:val="00B978DB"/>
    <w:rsid w:val="00BA263B"/>
    <w:rsid w:val="00BA42B2"/>
    <w:rsid w:val="00BA58D4"/>
    <w:rsid w:val="00BA5B9E"/>
    <w:rsid w:val="00BA7C9A"/>
    <w:rsid w:val="00BB5F8F"/>
    <w:rsid w:val="00BB657A"/>
    <w:rsid w:val="00BC1A4E"/>
    <w:rsid w:val="00BC5DC7"/>
    <w:rsid w:val="00BC6B41"/>
    <w:rsid w:val="00BC6B8B"/>
    <w:rsid w:val="00BC6E22"/>
    <w:rsid w:val="00BC73D8"/>
    <w:rsid w:val="00BD3132"/>
    <w:rsid w:val="00BD52D7"/>
    <w:rsid w:val="00BD5AD2"/>
    <w:rsid w:val="00BD6AAE"/>
    <w:rsid w:val="00BE22F3"/>
    <w:rsid w:val="00BE5B52"/>
    <w:rsid w:val="00BE7B8D"/>
    <w:rsid w:val="00BF0993"/>
    <w:rsid w:val="00BF0F46"/>
    <w:rsid w:val="00BF10A9"/>
    <w:rsid w:val="00BF1703"/>
    <w:rsid w:val="00BF231C"/>
    <w:rsid w:val="00BF51E5"/>
    <w:rsid w:val="00BF74A6"/>
    <w:rsid w:val="00BF7718"/>
    <w:rsid w:val="00C013AD"/>
    <w:rsid w:val="00C020FB"/>
    <w:rsid w:val="00C04904"/>
    <w:rsid w:val="00C056B3"/>
    <w:rsid w:val="00C101F3"/>
    <w:rsid w:val="00C103E5"/>
    <w:rsid w:val="00C13319"/>
    <w:rsid w:val="00C13EE9"/>
    <w:rsid w:val="00C21540"/>
    <w:rsid w:val="00C21906"/>
    <w:rsid w:val="00C21BFA"/>
    <w:rsid w:val="00C24C8D"/>
    <w:rsid w:val="00C25FE2"/>
    <w:rsid w:val="00C260F4"/>
    <w:rsid w:val="00C26B53"/>
    <w:rsid w:val="00C279B2"/>
    <w:rsid w:val="00C33E50"/>
    <w:rsid w:val="00C34C20"/>
    <w:rsid w:val="00C35A3E"/>
    <w:rsid w:val="00C37036"/>
    <w:rsid w:val="00C37211"/>
    <w:rsid w:val="00C4209D"/>
    <w:rsid w:val="00C42130"/>
    <w:rsid w:val="00C423A4"/>
    <w:rsid w:val="00C44BF5"/>
    <w:rsid w:val="00C521D6"/>
    <w:rsid w:val="00C53A84"/>
    <w:rsid w:val="00C55232"/>
    <w:rsid w:val="00C553A4"/>
    <w:rsid w:val="00C55A06"/>
    <w:rsid w:val="00C55D03"/>
    <w:rsid w:val="00C601BC"/>
    <w:rsid w:val="00C6329F"/>
    <w:rsid w:val="00C63340"/>
    <w:rsid w:val="00C643F9"/>
    <w:rsid w:val="00C64E95"/>
    <w:rsid w:val="00C65825"/>
    <w:rsid w:val="00C71372"/>
    <w:rsid w:val="00C72410"/>
    <w:rsid w:val="00C7287F"/>
    <w:rsid w:val="00C74E56"/>
    <w:rsid w:val="00C80CB8"/>
    <w:rsid w:val="00C819F8"/>
    <w:rsid w:val="00C8248C"/>
    <w:rsid w:val="00C84E33"/>
    <w:rsid w:val="00C86D6F"/>
    <w:rsid w:val="00C86E8C"/>
    <w:rsid w:val="00C905FC"/>
    <w:rsid w:val="00C9180C"/>
    <w:rsid w:val="00C92D03"/>
    <w:rsid w:val="00C9319C"/>
    <w:rsid w:val="00C9435D"/>
    <w:rsid w:val="00C96741"/>
    <w:rsid w:val="00CA2228"/>
    <w:rsid w:val="00CA2D1B"/>
    <w:rsid w:val="00CA662A"/>
    <w:rsid w:val="00CA7AFD"/>
    <w:rsid w:val="00CA7C3C"/>
    <w:rsid w:val="00CB0189"/>
    <w:rsid w:val="00CB0BA2"/>
    <w:rsid w:val="00CB1A42"/>
    <w:rsid w:val="00CB1B0C"/>
    <w:rsid w:val="00CB2987"/>
    <w:rsid w:val="00CB2C0B"/>
    <w:rsid w:val="00CB517D"/>
    <w:rsid w:val="00CC038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EEF"/>
    <w:rsid w:val="00CE0C4F"/>
    <w:rsid w:val="00CE238C"/>
    <w:rsid w:val="00CE30EA"/>
    <w:rsid w:val="00CE5F51"/>
    <w:rsid w:val="00CF048A"/>
    <w:rsid w:val="00CF155A"/>
    <w:rsid w:val="00CF2947"/>
    <w:rsid w:val="00CF38F8"/>
    <w:rsid w:val="00CF4E76"/>
    <w:rsid w:val="00CF686F"/>
    <w:rsid w:val="00CF6E60"/>
    <w:rsid w:val="00CF7BCA"/>
    <w:rsid w:val="00D008FD"/>
    <w:rsid w:val="00D0321C"/>
    <w:rsid w:val="00D035EC"/>
    <w:rsid w:val="00D04BE3"/>
    <w:rsid w:val="00D06AB1"/>
    <w:rsid w:val="00D072ED"/>
    <w:rsid w:val="00D07A16"/>
    <w:rsid w:val="00D1067E"/>
    <w:rsid w:val="00D10F50"/>
    <w:rsid w:val="00D11272"/>
    <w:rsid w:val="00D126F5"/>
    <w:rsid w:val="00D1489E"/>
    <w:rsid w:val="00D16F2D"/>
    <w:rsid w:val="00D20737"/>
    <w:rsid w:val="00D21E81"/>
    <w:rsid w:val="00D223DE"/>
    <w:rsid w:val="00D25E37"/>
    <w:rsid w:val="00D2661A"/>
    <w:rsid w:val="00D27582"/>
    <w:rsid w:val="00D31D69"/>
    <w:rsid w:val="00D32719"/>
    <w:rsid w:val="00D33333"/>
    <w:rsid w:val="00D34CB7"/>
    <w:rsid w:val="00D352A2"/>
    <w:rsid w:val="00D40411"/>
    <w:rsid w:val="00D4162B"/>
    <w:rsid w:val="00D4514F"/>
    <w:rsid w:val="00D451E2"/>
    <w:rsid w:val="00D452E7"/>
    <w:rsid w:val="00D45E89"/>
    <w:rsid w:val="00D45E8D"/>
    <w:rsid w:val="00D466AE"/>
    <w:rsid w:val="00D4734F"/>
    <w:rsid w:val="00D51BF3"/>
    <w:rsid w:val="00D54698"/>
    <w:rsid w:val="00D54B98"/>
    <w:rsid w:val="00D56D85"/>
    <w:rsid w:val="00D57026"/>
    <w:rsid w:val="00D6466A"/>
    <w:rsid w:val="00D66846"/>
    <w:rsid w:val="00D675FB"/>
    <w:rsid w:val="00D706A7"/>
    <w:rsid w:val="00D71F25"/>
    <w:rsid w:val="00D77031"/>
    <w:rsid w:val="00D81136"/>
    <w:rsid w:val="00D84941"/>
    <w:rsid w:val="00D84FA1"/>
    <w:rsid w:val="00D851F0"/>
    <w:rsid w:val="00D86DB7"/>
    <w:rsid w:val="00D9060C"/>
    <w:rsid w:val="00D926D0"/>
    <w:rsid w:val="00D9275C"/>
    <w:rsid w:val="00D93030"/>
    <w:rsid w:val="00D950E1"/>
    <w:rsid w:val="00D952A6"/>
    <w:rsid w:val="00D97F99"/>
    <w:rsid w:val="00DA0A91"/>
    <w:rsid w:val="00DA1E08"/>
    <w:rsid w:val="00DA24F8"/>
    <w:rsid w:val="00DA28E8"/>
    <w:rsid w:val="00DA38D3"/>
    <w:rsid w:val="00DA3932"/>
    <w:rsid w:val="00DA3AFC"/>
    <w:rsid w:val="00DA47FB"/>
    <w:rsid w:val="00DA64F8"/>
    <w:rsid w:val="00DA6C15"/>
    <w:rsid w:val="00DB38EE"/>
    <w:rsid w:val="00DB498B"/>
    <w:rsid w:val="00DB66CA"/>
    <w:rsid w:val="00DB6BCA"/>
    <w:rsid w:val="00DB7113"/>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5CC5"/>
    <w:rsid w:val="00DE6E81"/>
    <w:rsid w:val="00DE703F"/>
    <w:rsid w:val="00DE7595"/>
    <w:rsid w:val="00DE778A"/>
    <w:rsid w:val="00DF1728"/>
    <w:rsid w:val="00DF1961"/>
    <w:rsid w:val="00DF44DE"/>
    <w:rsid w:val="00DF4A10"/>
    <w:rsid w:val="00E00E1D"/>
    <w:rsid w:val="00E01138"/>
    <w:rsid w:val="00E02DFB"/>
    <w:rsid w:val="00E030F9"/>
    <w:rsid w:val="00E0311A"/>
    <w:rsid w:val="00E03138"/>
    <w:rsid w:val="00E06404"/>
    <w:rsid w:val="00E069C9"/>
    <w:rsid w:val="00E11A85"/>
    <w:rsid w:val="00E12495"/>
    <w:rsid w:val="00E15CCD"/>
    <w:rsid w:val="00E15D9E"/>
    <w:rsid w:val="00E202EF"/>
    <w:rsid w:val="00E210B5"/>
    <w:rsid w:val="00E2552F"/>
    <w:rsid w:val="00E3060E"/>
    <w:rsid w:val="00E3137A"/>
    <w:rsid w:val="00E32213"/>
    <w:rsid w:val="00E32CCF"/>
    <w:rsid w:val="00E33542"/>
    <w:rsid w:val="00E34A98"/>
    <w:rsid w:val="00E35D1E"/>
    <w:rsid w:val="00E364F9"/>
    <w:rsid w:val="00E365FA"/>
    <w:rsid w:val="00E36789"/>
    <w:rsid w:val="00E3716E"/>
    <w:rsid w:val="00E434E2"/>
    <w:rsid w:val="00E44A83"/>
    <w:rsid w:val="00E502C1"/>
    <w:rsid w:val="00E502DD"/>
    <w:rsid w:val="00E50D3A"/>
    <w:rsid w:val="00E51387"/>
    <w:rsid w:val="00E51E68"/>
    <w:rsid w:val="00E52EFD"/>
    <w:rsid w:val="00E5408A"/>
    <w:rsid w:val="00E56800"/>
    <w:rsid w:val="00E574EF"/>
    <w:rsid w:val="00E62FF9"/>
    <w:rsid w:val="00E635D6"/>
    <w:rsid w:val="00E639BC"/>
    <w:rsid w:val="00E664CC"/>
    <w:rsid w:val="00E70388"/>
    <w:rsid w:val="00E70B15"/>
    <w:rsid w:val="00E70DDC"/>
    <w:rsid w:val="00E70F92"/>
    <w:rsid w:val="00E728A8"/>
    <w:rsid w:val="00E74C54"/>
    <w:rsid w:val="00E77A03"/>
    <w:rsid w:val="00E822E8"/>
    <w:rsid w:val="00E82554"/>
    <w:rsid w:val="00E82606"/>
    <w:rsid w:val="00E83E3F"/>
    <w:rsid w:val="00E846C8"/>
    <w:rsid w:val="00E84957"/>
    <w:rsid w:val="00E84A55"/>
    <w:rsid w:val="00E85BFF"/>
    <w:rsid w:val="00E8634B"/>
    <w:rsid w:val="00E90391"/>
    <w:rsid w:val="00E905A8"/>
    <w:rsid w:val="00E906C2"/>
    <w:rsid w:val="00E9070B"/>
    <w:rsid w:val="00E922DE"/>
    <w:rsid w:val="00E9311F"/>
    <w:rsid w:val="00E934D1"/>
    <w:rsid w:val="00E94448"/>
    <w:rsid w:val="00E94AF0"/>
    <w:rsid w:val="00E95D13"/>
    <w:rsid w:val="00E95DD3"/>
    <w:rsid w:val="00E969D5"/>
    <w:rsid w:val="00EA1CE6"/>
    <w:rsid w:val="00EA5617"/>
    <w:rsid w:val="00EA58D1"/>
    <w:rsid w:val="00EA61BC"/>
    <w:rsid w:val="00EA681A"/>
    <w:rsid w:val="00EA735B"/>
    <w:rsid w:val="00EB1E69"/>
    <w:rsid w:val="00EB2086"/>
    <w:rsid w:val="00EB5DD8"/>
    <w:rsid w:val="00EB5EDF"/>
    <w:rsid w:val="00EB60FE"/>
    <w:rsid w:val="00EB74DB"/>
    <w:rsid w:val="00EC5359"/>
    <w:rsid w:val="00EC562A"/>
    <w:rsid w:val="00ED067A"/>
    <w:rsid w:val="00ED2B50"/>
    <w:rsid w:val="00EE0350"/>
    <w:rsid w:val="00EE0719"/>
    <w:rsid w:val="00EE0E80"/>
    <w:rsid w:val="00EE3318"/>
    <w:rsid w:val="00EE613F"/>
    <w:rsid w:val="00EE7295"/>
    <w:rsid w:val="00EE7370"/>
    <w:rsid w:val="00EE7869"/>
    <w:rsid w:val="00EF054A"/>
    <w:rsid w:val="00EF28FB"/>
    <w:rsid w:val="00EF3235"/>
    <w:rsid w:val="00EF7E72"/>
    <w:rsid w:val="00F001FA"/>
    <w:rsid w:val="00F00C9F"/>
    <w:rsid w:val="00F01542"/>
    <w:rsid w:val="00F06D37"/>
    <w:rsid w:val="00F07B9D"/>
    <w:rsid w:val="00F10926"/>
    <w:rsid w:val="00F11586"/>
    <w:rsid w:val="00F1183B"/>
    <w:rsid w:val="00F11C9F"/>
    <w:rsid w:val="00F12263"/>
    <w:rsid w:val="00F1409D"/>
    <w:rsid w:val="00F14214"/>
    <w:rsid w:val="00F157A9"/>
    <w:rsid w:val="00F25BB6"/>
    <w:rsid w:val="00F25FA7"/>
    <w:rsid w:val="00F26B7E"/>
    <w:rsid w:val="00F27288"/>
    <w:rsid w:val="00F27A3B"/>
    <w:rsid w:val="00F33817"/>
    <w:rsid w:val="00F3447F"/>
    <w:rsid w:val="00F420D5"/>
    <w:rsid w:val="00F451EA"/>
    <w:rsid w:val="00F45447"/>
    <w:rsid w:val="00F456C6"/>
    <w:rsid w:val="00F4577B"/>
    <w:rsid w:val="00F45D8F"/>
    <w:rsid w:val="00F46496"/>
    <w:rsid w:val="00F474D0"/>
    <w:rsid w:val="00F50179"/>
    <w:rsid w:val="00F56511"/>
    <w:rsid w:val="00F6194E"/>
    <w:rsid w:val="00F623AC"/>
    <w:rsid w:val="00F6412A"/>
    <w:rsid w:val="00F65893"/>
    <w:rsid w:val="00F66A4A"/>
    <w:rsid w:val="00F71E22"/>
    <w:rsid w:val="00F72142"/>
    <w:rsid w:val="00F72AE7"/>
    <w:rsid w:val="00F77D98"/>
    <w:rsid w:val="00F833BA"/>
    <w:rsid w:val="00F84FD0"/>
    <w:rsid w:val="00F859A8"/>
    <w:rsid w:val="00F86043"/>
    <w:rsid w:val="00F9108B"/>
    <w:rsid w:val="00F91349"/>
    <w:rsid w:val="00F93A8A"/>
    <w:rsid w:val="00F942FF"/>
    <w:rsid w:val="00F95248"/>
    <w:rsid w:val="00F956A9"/>
    <w:rsid w:val="00F963ED"/>
    <w:rsid w:val="00F966CF"/>
    <w:rsid w:val="00F96CAE"/>
    <w:rsid w:val="00F97C99"/>
    <w:rsid w:val="00FA662D"/>
    <w:rsid w:val="00FA6730"/>
    <w:rsid w:val="00FA73B1"/>
    <w:rsid w:val="00FB0CB9"/>
    <w:rsid w:val="00FB45F1"/>
    <w:rsid w:val="00FB4A72"/>
    <w:rsid w:val="00FB54E8"/>
    <w:rsid w:val="00FB7054"/>
    <w:rsid w:val="00FC17B7"/>
    <w:rsid w:val="00FC2CB7"/>
    <w:rsid w:val="00FC4090"/>
    <w:rsid w:val="00FC55B4"/>
    <w:rsid w:val="00FD00E6"/>
    <w:rsid w:val="00FD09A1"/>
    <w:rsid w:val="00FD2A7C"/>
    <w:rsid w:val="00FD370E"/>
    <w:rsid w:val="00FD59EB"/>
    <w:rsid w:val="00FD63D8"/>
    <w:rsid w:val="00FD7299"/>
    <w:rsid w:val="00FE1FBE"/>
    <w:rsid w:val="00FE3901"/>
    <w:rsid w:val="00FE39D3"/>
    <w:rsid w:val="00FE4BCE"/>
    <w:rsid w:val="00FE54AE"/>
    <w:rsid w:val="00FE576A"/>
    <w:rsid w:val="00FE7E79"/>
    <w:rsid w:val="00FF11D0"/>
    <w:rsid w:val="00FF3E7D"/>
    <w:rsid w:val="00FF514A"/>
    <w:rsid w:val="00FF5B99"/>
    <w:rsid w:val="00FF730C"/>
    <w:rsid w:val="00FF73F4"/>
    <w:rsid w:val="00FF7CE4"/>
    <w:rsid w:val="00FF7E39"/>
    <w:rsid w:val="011406FF"/>
    <w:rsid w:val="04B01C3D"/>
    <w:rsid w:val="06207329"/>
    <w:rsid w:val="06796A6A"/>
    <w:rsid w:val="0761535F"/>
    <w:rsid w:val="083B6CA0"/>
    <w:rsid w:val="0B017D63"/>
    <w:rsid w:val="0BB96364"/>
    <w:rsid w:val="0FC9755D"/>
    <w:rsid w:val="10D22EE2"/>
    <w:rsid w:val="13452240"/>
    <w:rsid w:val="1432071C"/>
    <w:rsid w:val="150F3501"/>
    <w:rsid w:val="1C707B9E"/>
    <w:rsid w:val="1E704924"/>
    <w:rsid w:val="1F2823A0"/>
    <w:rsid w:val="223C152B"/>
    <w:rsid w:val="229A35A0"/>
    <w:rsid w:val="238765BA"/>
    <w:rsid w:val="245D7ED5"/>
    <w:rsid w:val="25602F2D"/>
    <w:rsid w:val="28460EC5"/>
    <w:rsid w:val="2A262790"/>
    <w:rsid w:val="2B681445"/>
    <w:rsid w:val="2D2E0056"/>
    <w:rsid w:val="302F0ECF"/>
    <w:rsid w:val="34402F7B"/>
    <w:rsid w:val="35F35B67"/>
    <w:rsid w:val="37126C96"/>
    <w:rsid w:val="37A072D4"/>
    <w:rsid w:val="38B900C0"/>
    <w:rsid w:val="3BE22603"/>
    <w:rsid w:val="3E1877DF"/>
    <w:rsid w:val="3EFE2B04"/>
    <w:rsid w:val="427B6A9E"/>
    <w:rsid w:val="43A27BA4"/>
    <w:rsid w:val="43EA277E"/>
    <w:rsid w:val="450A5506"/>
    <w:rsid w:val="49681065"/>
    <w:rsid w:val="4CAC6962"/>
    <w:rsid w:val="4CE52F83"/>
    <w:rsid w:val="51C51AB5"/>
    <w:rsid w:val="55D166FD"/>
    <w:rsid w:val="580D79A6"/>
    <w:rsid w:val="59080578"/>
    <w:rsid w:val="5AB0133B"/>
    <w:rsid w:val="5E9A7A70"/>
    <w:rsid w:val="5FDE1E60"/>
    <w:rsid w:val="60BB0622"/>
    <w:rsid w:val="60CA4956"/>
    <w:rsid w:val="633D1C9E"/>
    <w:rsid w:val="68140DCC"/>
    <w:rsid w:val="6B295972"/>
    <w:rsid w:val="6C5E2EA1"/>
    <w:rsid w:val="6C7560C3"/>
    <w:rsid w:val="6EFF6371"/>
    <w:rsid w:val="7483012D"/>
    <w:rsid w:val="7B4F49C1"/>
    <w:rsid w:val="7EB42692"/>
    <w:rsid w:val="7F3F62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8"/>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41"/>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3"/>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4"/>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5"/>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6"/>
    <w:autoRedefine/>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uiPriority w:val="1"/>
  </w:style>
  <w:style w:type="table" w:default="1" w:styleId="29">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annotation text"/>
    <w:basedOn w:val="1"/>
    <w:link w:val="248"/>
    <w:semiHidden/>
    <w:unhideWhenUsed/>
    <w:qFormat/>
    <w:uiPriority w:val="99"/>
    <w:pPr>
      <w:jc w:val="left"/>
    </w:pPr>
  </w:style>
  <w:style w:type="paragraph" w:styleId="14">
    <w:name w:val="Body Text"/>
    <w:basedOn w:val="1"/>
    <w:link w:val="90"/>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9"/>
    <w:semiHidden/>
    <w:unhideWhenUsed/>
    <w:qFormat/>
    <w:uiPriority w:val="99"/>
    <w:rPr>
      <w:sz w:val="18"/>
      <w:szCs w:val="18"/>
    </w:rPr>
  </w:style>
  <w:style w:type="paragraph" w:styleId="18">
    <w:name w:val="footer"/>
    <w:basedOn w:val="1"/>
    <w:link w:val="48"/>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7"/>
    <w:autoRedefine/>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3"/>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Normal (Web)"/>
    <w:basedOn w:val="1"/>
    <w:unhideWhenUsed/>
    <w:qFormat/>
    <w:uiPriority w:val="0"/>
    <w:pPr>
      <w:adjustRightInd/>
      <w:spacing w:line="240" w:lineRule="auto"/>
    </w:pPr>
    <w:rPr>
      <w:rFonts w:ascii="Times New Roman" w:hAnsi="Times New Roman"/>
      <w:sz w:val="24"/>
      <w:szCs w:val="24"/>
    </w:rPr>
  </w:style>
  <w:style w:type="paragraph" w:styleId="27">
    <w:name w:val="Title"/>
    <w:basedOn w:val="1"/>
    <w:link w:val="52"/>
    <w:autoRedefine/>
    <w:qFormat/>
    <w:uiPriority w:val="0"/>
    <w:pPr>
      <w:spacing w:before="240" w:after="60"/>
      <w:jc w:val="center"/>
      <w:outlineLvl w:val="0"/>
    </w:pPr>
    <w:rPr>
      <w:rFonts w:ascii="Arial" w:hAnsi="Arial" w:cs="Arial"/>
      <w:b/>
      <w:bCs/>
      <w:sz w:val="32"/>
      <w:szCs w:val="32"/>
    </w:rPr>
  </w:style>
  <w:style w:type="paragraph" w:styleId="28">
    <w:name w:val="annotation subject"/>
    <w:basedOn w:val="13"/>
    <w:next w:val="13"/>
    <w:link w:val="249"/>
    <w:semiHidden/>
    <w:unhideWhenUsed/>
    <w:qFormat/>
    <w:uiPriority w:val="99"/>
    <w:rPr>
      <w:b/>
      <w:bCs/>
    </w:rPr>
  </w:style>
  <w:style w:type="table" w:styleId="30">
    <w:name w:val="Table Grid"/>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qFormat/>
    <w:uiPriority w:val="22"/>
    <w:rPr>
      <w:b/>
      <w:bCs/>
    </w:rPr>
  </w:style>
  <w:style w:type="character" w:styleId="33">
    <w:name w:val="page number"/>
    <w:autoRedefine/>
    <w:qFormat/>
    <w:uiPriority w:val="0"/>
    <w:rPr>
      <w:rFonts w:ascii="宋体" w:hAnsi="Times New Roman" w:eastAsia="宋体"/>
      <w:sz w:val="18"/>
    </w:rPr>
  </w:style>
  <w:style w:type="character" w:styleId="34">
    <w:name w:val="Emphasis"/>
    <w:qFormat/>
    <w:uiPriority w:val="20"/>
    <w:rPr>
      <w:i/>
      <w:iCs/>
    </w:rPr>
  </w:style>
  <w:style w:type="character" w:styleId="35">
    <w:name w:val="Hyperlink"/>
    <w:qFormat/>
    <w:uiPriority w:val="99"/>
    <w:rPr>
      <w:rFonts w:ascii="宋体" w:hAnsi="Times New Roman" w:eastAsia="宋体"/>
      <w:color w:val="auto"/>
      <w:spacing w:val="0"/>
      <w:w w:val="100"/>
      <w:position w:val="0"/>
      <w:sz w:val="21"/>
      <w:u w:val="none"/>
      <w:vertAlign w:val="baseline"/>
    </w:rPr>
  </w:style>
  <w:style w:type="character" w:styleId="36">
    <w:name w:val="annotation reference"/>
    <w:basedOn w:val="31"/>
    <w:semiHidden/>
    <w:unhideWhenUsed/>
    <w:qFormat/>
    <w:uiPriority w:val="99"/>
    <w:rPr>
      <w:sz w:val="21"/>
      <w:szCs w:val="21"/>
    </w:rPr>
  </w:style>
  <w:style w:type="character" w:styleId="37">
    <w:name w:val="footnote reference"/>
    <w:semiHidden/>
    <w:qFormat/>
    <w:uiPriority w:val="0"/>
    <w:rPr>
      <w:rFonts w:ascii="宋体" w:hAnsi="宋体" w:eastAsia="宋体" w:cs="Times New Roman"/>
      <w:spacing w:val="0"/>
      <w:sz w:val="18"/>
      <w:vertAlign w:val="superscript"/>
    </w:rPr>
  </w:style>
  <w:style w:type="character" w:customStyle="1" w:styleId="38">
    <w:name w:val="标题 1 字符"/>
    <w:link w:val="2"/>
    <w:autoRedefine/>
    <w:qFormat/>
    <w:uiPriority w:val="0"/>
    <w:rPr>
      <w:b/>
      <w:bCs/>
      <w:kern w:val="44"/>
      <w:sz w:val="44"/>
      <w:szCs w:val="44"/>
    </w:rPr>
  </w:style>
  <w:style w:type="character" w:customStyle="1" w:styleId="39">
    <w:name w:val="标题 2 字符"/>
    <w:link w:val="3"/>
    <w:autoRedefine/>
    <w:qFormat/>
    <w:uiPriority w:val="0"/>
    <w:rPr>
      <w:rFonts w:ascii="Arial" w:hAnsi="Arial" w:eastAsia="黑体"/>
      <w:b/>
      <w:bCs/>
      <w:kern w:val="2"/>
      <w:sz w:val="32"/>
      <w:szCs w:val="32"/>
    </w:rPr>
  </w:style>
  <w:style w:type="character" w:customStyle="1" w:styleId="40">
    <w:name w:val="标题 3 字符"/>
    <w:link w:val="4"/>
    <w:autoRedefine/>
    <w:qFormat/>
    <w:uiPriority w:val="0"/>
    <w:rPr>
      <w:b/>
      <w:bCs/>
      <w:kern w:val="2"/>
      <w:sz w:val="32"/>
      <w:szCs w:val="32"/>
    </w:rPr>
  </w:style>
  <w:style w:type="character" w:customStyle="1" w:styleId="41">
    <w:name w:val="标题 4 字符"/>
    <w:link w:val="5"/>
    <w:autoRedefine/>
    <w:qFormat/>
    <w:uiPriority w:val="0"/>
    <w:rPr>
      <w:rFonts w:ascii="Arial" w:hAnsi="Arial" w:eastAsia="黑体"/>
      <w:b/>
      <w:bCs/>
      <w:kern w:val="2"/>
      <w:sz w:val="28"/>
      <w:szCs w:val="28"/>
    </w:rPr>
  </w:style>
  <w:style w:type="character" w:customStyle="1" w:styleId="42">
    <w:name w:val="标题 5 字符"/>
    <w:link w:val="6"/>
    <w:autoRedefine/>
    <w:qFormat/>
    <w:uiPriority w:val="0"/>
    <w:rPr>
      <w:b/>
      <w:bCs/>
      <w:kern w:val="2"/>
      <w:sz w:val="28"/>
      <w:szCs w:val="28"/>
    </w:rPr>
  </w:style>
  <w:style w:type="character" w:customStyle="1" w:styleId="43">
    <w:name w:val="标题 6 字符"/>
    <w:link w:val="7"/>
    <w:autoRedefine/>
    <w:qFormat/>
    <w:uiPriority w:val="0"/>
    <w:rPr>
      <w:rFonts w:ascii="Arial" w:hAnsi="Arial" w:eastAsia="黑体"/>
      <w:b/>
      <w:bCs/>
      <w:kern w:val="2"/>
      <w:sz w:val="24"/>
      <w:szCs w:val="24"/>
    </w:rPr>
  </w:style>
  <w:style w:type="character" w:customStyle="1" w:styleId="44">
    <w:name w:val="标题 7 字符"/>
    <w:link w:val="8"/>
    <w:autoRedefine/>
    <w:qFormat/>
    <w:uiPriority w:val="0"/>
    <w:rPr>
      <w:b/>
      <w:bCs/>
      <w:kern w:val="2"/>
      <w:sz w:val="24"/>
      <w:szCs w:val="24"/>
    </w:rPr>
  </w:style>
  <w:style w:type="character" w:customStyle="1" w:styleId="45">
    <w:name w:val="标题 8 字符"/>
    <w:link w:val="9"/>
    <w:qFormat/>
    <w:uiPriority w:val="0"/>
    <w:rPr>
      <w:rFonts w:ascii="Arial" w:hAnsi="Arial" w:eastAsia="黑体"/>
      <w:kern w:val="2"/>
      <w:sz w:val="24"/>
      <w:szCs w:val="24"/>
    </w:rPr>
  </w:style>
  <w:style w:type="character" w:customStyle="1" w:styleId="46">
    <w:name w:val="标题 9 字符"/>
    <w:link w:val="10"/>
    <w:autoRedefine/>
    <w:qFormat/>
    <w:uiPriority w:val="0"/>
    <w:rPr>
      <w:rFonts w:ascii="Arial" w:hAnsi="Arial" w:eastAsia="黑体"/>
      <w:kern w:val="2"/>
      <w:sz w:val="21"/>
      <w:szCs w:val="21"/>
    </w:rPr>
  </w:style>
  <w:style w:type="character" w:customStyle="1" w:styleId="47">
    <w:name w:val="页眉 字符"/>
    <w:link w:val="19"/>
    <w:autoRedefine/>
    <w:qFormat/>
    <w:uiPriority w:val="99"/>
    <w:rPr>
      <w:kern w:val="2"/>
      <w:sz w:val="18"/>
      <w:szCs w:val="18"/>
    </w:rPr>
  </w:style>
  <w:style w:type="character" w:customStyle="1" w:styleId="48">
    <w:name w:val="页脚 字符"/>
    <w:link w:val="18"/>
    <w:autoRedefine/>
    <w:qFormat/>
    <w:uiPriority w:val="99"/>
    <w:rPr>
      <w:rFonts w:ascii="宋体"/>
      <w:kern w:val="2"/>
      <w:sz w:val="18"/>
      <w:szCs w:val="18"/>
    </w:rPr>
  </w:style>
  <w:style w:type="character" w:customStyle="1" w:styleId="49">
    <w:name w:val="批注框文本 字符"/>
    <w:link w:val="17"/>
    <w:autoRedefine/>
    <w:semiHidden/>
    <w:qFormat/>
    <w:uiPriority w:val="99"/>
    <w:rPr>
      <w:kern w:val="2"/>
      <w:sz w:val="18"/>
      <w:szCs w:val="18"/>
    </w:rPr>
  </w:style>
  <w:style w:type="paragraph" w:styleId="50">
    <w:name w:val="Quote"/>
    <w:basedOn w:val="1"/>
    <w:next w:val="1"/>
    <w:link w:val="51"/>
    <w:autoRedefine/>
    <w:qFormat/>
    <w:uiPriority w:val="29"/>
    <w:rPr>
      <w:i/>
      <w:iCs/>
      <w:color w:val="000000"/>
    </w:rPr>
  </w:style>
  <w:style w:type="character" w:customStyle="1" w:styleId="51">
    <w:name w:val="引用 字符"/>
    <w:link w:val="50"/>
    <w:autoRedefine/>
    <w:qFormat/>
    <w:uiPriority w:val="29"/>
    <w:rPr>
      <w:i/>
      <w:iCs/>
      <w:color w:val="000000"/>
      <w:kern w:val="2"/>
      <w:sz w:val="21"/>
      <w:szCs w:val="21"/>
    </w:rPr>
  </w:style>
  <w:style w:type="character" w:customStyle="1" w:styleId="52">
    <w:name w:val="标题 字符"/>
    <w:link w:val="27"/>
    <w:qFormat/>
    <w:uiPriority w:val="0"/>
    <w:rPr>
      <w:rFonts w:ascii="Arial" w:hAnsi="Arial" w:cs="Arial"/>
      <w:b/>
      <w:bCs/>
      <w:kern w:val="2"/>
      <w:sz w:val="32"/>
      <w:szCs w:val="32"/>
    </w:rPr>
  </w:style>
  <w:style w:type="paragraph" w:customStyle="1" w:styleId="53">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4">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5">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6">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7">
    <w:name w:val="标准书眉一"/>
    <w:autoRedefine/>
    <w:qFormat/>
    <w:uiPriority w:val="0"/>
    <w:pPr>
      <w:jc w:val="both"/>
    </w:pPr>
    <w:rPr>
      <w:rFonts w:ascii="Times New Roman" w:hAnsi="Times New Roman" w:eastAsia="宋体" w:cs="Times New Roman"/>
      <w:lang w:val="en-US" w:eastAsia="zh-CN" w:bidi="ar-SA"/>
    </w:rPr>
  </w:style>
  <w:style w:type="paragraph" w:customStyle="1" w:styleId="58">
    <w:name w:val="标准文件_ICS"/>
    <w:basedOn w:val="1"/>
    <w:autoRedefine/>
    <w:qFormat/>
    <w:uiPriority w:val="0"/>
    <w:pPr>
      <w:spacing w:line="0" w:lineRule="atLeast"/>
    </w:pPr>
    <w:rPr>
      <w:rFonts w:ascii="黑体" w:hAnsi="宋体" w:eastAsia="黑体"/>
    </w:rPr>
  </w:style>
  <w:style w:type="paragraph" w:customStyle="1" w:styleId="59">
    <w:name w:val="标准文件_标准正文"/>
    <w:basedOn w:val="1"/>
    <w:next w:val="60"/>
    <w:autoRedefine/>
    <w:qFormat/>
    <w:uiPriority w:val="0"/>
    <w:pPr>
      <w:snapToGrid w:val="0"/>
      <w:ind w:firstLine="200" w:firstLineChars="200"/>
    </w:pPr>
    <w:rPr>
      <w:kern w:val="0"/>
    </w:rPr>
  </w:style>
  <w:style w:type="paragraph" w:customStyle="1" w:styleId="60">
    <w:name w:val="标准文件_段"/>
    <w:link w:val="18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1">
    <w:name w:val="标准文件_版本"/>
    <w:basedOn w:val="59"/>
    <w:autoRedefine/>
    <w:qFormat/>
    <w:uiPriority w:val="0"/>
    <w:pPr>
      <w:adjustRightInd/>
      <w:snapToGrid/>
      <w:ind w:firstLine="0" w:firstLineChars="0"/>
    </w:pPr>
    <w:rPr>
      <w:rFonts w:ascii="宋体" w:hAnsi="宋体"/>
      <w:kern w:val="2"/>
    </w:rPr>
  </w:style>
  <w:style w:type="paragraph" w:customStyle="1" w:styleId="62">
    <w:name w:val="标准文件_标准部门"/>
    <w:basedOn w:val="1"/>
    <w:qFormat/>
    <w:uiPriority w:val="0"/>
    <w:pPr>
      <w:jc w:val="center"/>
    </w:pPr>
    <w:rPr>
      <w:rFonts w:ascii="黑体" w:eastAsia="黑体"/>
      <w:kern w:val="0"/>
      <w:sz w:val="44"/>
    </w:rPr>
  </w:style>
  <w:style w:type="paragraph" w:customStyle="1" w:styleId="63">
    <w:name w:val="标准文件_标准代替"/>
    <w:basedOn w:val="1"/>
    <w:next w:val="1"/>
    <w:qFormat/>
    <w:uiPriority w:val="0"/>
    <w:pPr>
      <w:spacing w:line="310" w:lineRule="exact"/>
      <w:jc w:val="right"/>
    </w:pPr>
    <w:rPr>
      <w:rFonts w:ascii="宋体" w:hAnsi="宋体"/>
      <w:kern w:val="0"/>
    </w:rPr>
  </w:style>
  <w:style w:type="paragraph" w:customStyle="1" w:styleId="64">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5">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6">
    <w:name w:val="标准文件_页眉偶数页"/>
    <w:basedOn w:val="65"/>
    <w:next w:val="1"/>
    <w:qFormat/>
    <w:uiPriority w:val="0"/>
    <w:pPr>
      <w:jc w:val="left"/>
    </w:pPr>
  </w:style>
  <w:style w:type="paragraph" w:customStyle="1" w:styleId="67">
    <w:name w:val="标准文件_参考文献标题"/>
    <w:basedOn w:val="1"/>
    <w:next w:val="1"/>
    <w:autoRedefine/>
    <w:qFormat/>
    <w:uiPriority w:val="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68">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9">
    <w:name w:val="标准文件_二级条标题"/>
    <w:next w:val="60"/>
    <w:autoRedefine/>
    <w:qFormat/>
    <w:uiPriority w:val="0"/>
    <w:pPr>
      <w:widowControl w:val="0"/>
      <w:spacing w:before="120" w:beforeLines="50" w:after="120" w:afterLines="50" w:line="312" w:lineRule="auto"/>
      <w:jc w:val="both"/>
      <w:outlineLvl w:val="2"/>
    </w:pPr>
    <w:rPr>
      <w:rFonts w:ascii="黑体" w:hAnsi="黑体" w:eastAsia="黑体" w:cs="Times New Roman"/>
      <w:sz w:val="21"/>
      <w:lang w:val="en-US" w:eastAsia="zh-CN" w:bidi="ar-SA"/>
    </w:rPr>
  </w:style>
  <w:style w:type="character" w:customStyle="1" w:styleId="70">
    <w:name w:val="标准文件_发布"/>
    <w:autoRedefine/>
    <w:qFormat/>
    <w:uiPriority w:val="0"/>
    <w:rPr>
      <w:rFonts w:ascii="黑体" w:eastAsia="黑体"/>
      <w:spacing w:val="0"/>
      <w:w w:val="100"/>
      <w:position w:val="3"/>
      <w:sz w:val="28"/>
    </w:rPr>
  </w:style>
  <w:style w:type="paragraph" w:customStyle="1" w:styleId="71">
    <w:name w:val="标准文件_方框数字列项"/>
    <w:basedOn w:val="60"/>
    <w:autoRedefine/>
    <w:qFormat/>
    <w:uiPriority w:val="0"/>
    <w:pPr>
      <w:numPr>
        <w:ilvl w:val="0"/>
        <w:numId w:val="2"/>
      </w:numPr>
      <w:ind w:firstLine="0" w:firstLineChars="0"/>
    </w:pPr>
  </w:style>
  <w:style w:type="paragraph" w:customStyle="1" w:styleId="72">
    <w:name w:val="标准文件_封面标准编号"/>
    <w:basedOn w:val="1"/>
    <w:next w:val="63"/>
    <w:qFormat/>
    <w:uiPriority w:val="0"/>
    <w:pPr>
      <w:spacing w:line="310" w:lineRule="exact"/>
      <w:jc w:val="right"/>
    </w:pPr>
    <w:rPr>
      <w:rFonts w:ascii="黑体" w:eastAsia="黑体"/>
      <w:kern w:val="0"/>
      <w:sz w:val="28"/>
    </w:rPr>
  </w:style>
  <w:style w:type="paragraph" w:customStyle="1" w:styleId="73">
    <w:name w:val="标准文件_封面标准分类号"/>
    <w:basedOn w:val="1"/>
    <w:autoRedefine/>
    <w:qFormat/>
    <w:uiPriority w:val="0"/>
    <w:rPr>
      <w:rFonts w:ascii="黑体" w:eastAsia="黑体"/>
      <w:b/>
      <w:kern w:val="0"/>
      <w:sz w:val="28"/>
    </w:rPr>
  </w:style>
  <w:style w:type="paragraph" w:customStyle="1" w:styleId="74">
    <w:name w:val="标准文件_封面标准名称"/>
    <w:basedOn w:val="1"/>
    <w:qFormat/>
    <w:uiPriority w:val="0"/>
    <w:pPr>
      <w:spacing w:line="240" w:lineRule="auto"/>
      <w:jc w:val="center"/>
    </w:pPr>
    <w:rPr>
      <w:rFonts w:ascii="黑体" w:eastAsia="黑体"/>
      <w:kern w:val="0"/>
      <w:sz w:val="52"/>
    </w:rPr>
  </w:style>
  <w:style w:type="paragraph" w:customStyle="1" w:styleId="75">
    <w:name w:val="标准文件_封面标准英文名称"/>
    <w:basedOn w:val="1"/>
    <w:autoRedefine/>
    <w:qFormat/>
    <w:uiPriority w:val="0"/>
    <w:pPr>
      <w:spacing w:line="240" w:lineRule="auto"/>
      <w:jc w:val="center"/>
    </w:pPr>
    <w:rPr>
      <w:rFonts w:ascii="黑体" w:eastAsia="黑体"/>
      <w:b/>
      <w:sz w:val="28"/>
    </w:rPr>
  </w:style>
  <w:style w:type="paragraph" w:customStyle="1" w:styleId="76">
    <w:name w:val="标准文件_封面发布日期"/>
    <w:basedOn w:val="1"/>
    <w:autoRedefine/>
    <w:qFormat/>
    <w:uiPriority w:val="0"/>
    <w:pPr>
      <w:spacing w:line="310" w:lineRule="exact"/>
    </w:pPr>
    <w:rPr>
      <w:rFonts w:ascii="黑体" w:eastAsia="黑体"/>
      <w:kern w:val="0"/>
      <w:sz w:val="28"/>
    </w:rPr>
  </w:style>
  <w:style w:type="paragraph" w:customStyle="1" w:styleId="77">
    <w:name w:val="标准文件_封面密级"/>
    <w:basedOn w:val="1"/>
    <w:autoRedefine/>
    <w:qFormat/>
    <w:uiPriority w:val="0"/>
    <w:rPr>
      <w:rFonts w:eastAsia="黑体"/>
      <w:sz w:val="32"/>
    </w:rPr>
  </w:style>
  <w:style w:type="paragraph" w:customStyle="1" w:styleId="78">
    <w:name w:val="标准文件_封面实施日期"/>
    <w:basedOn w:val="1"/>
    <w:autoRedefine/>
    <w:qFormat/>
    <w:uiPriority w:val="0"/>
    <w:pPr>
      <w:spacing w:line="310" w:lineRule="exact"/>
      <w:jc w:val="right"/>
    </w:pPr>
    <w:rPr>
      <w:rFonts w:ascii="黑体" w:eastAsia="黑体"/>
      <w:sz w:val="28"/>
    </w:rPr>
  </w:style>
  <w:style w:type="paragraph" w:customStyle="1" w:styleId="79">
    <w:name w:val="标准文件_封面抬头"/>
    <w:basedOn w:val="60"/>
    <w:qFormat/>
    <w:uiPriority w:val="0"/>
    <w:pPr>
      <w:adjustRightInd w:val="0"/>
      <w:spacing w:line="800" w:lineRule="exact"/>
      <w:ind w:firstLine="0" w:firstLineChars="0"/>
      <w:jc w:val="distribute"/>
    </w:pPr>
    <w:rPr>
      <w:rFonts w:ascii="黑体" w:eastAsia="黑体"/>
      <w:b/>
      <w:sz w:val="64"/>
    </w:rPr>
  </w:style>
  <w:style w:type="paragraph" w:customStyle="1" w:styleId="80">
    <w:name w:val="标准文件_附录标识"/>
    <w:next w:val="60"/>
    <w:qFormat/>
    <w:uiPriority w:val="0"/>
    <w:pPr>
      <w:numPr>
        <w:ilvl w:val="0"/>
        <w:numId w:val="3"/>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81">
    <w:name w:val="标准文件_附录表标题"/>
    <w:next w:val="60"/>
    <w:qFormat/>
    <w:uiPriority w:val="0"/>
    <w:pPr>
      <w:numPr>
        <w:ilvl w:val="1"/>
        <w:numId w:val="4"/>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82">
    <w:name w:val="标准文件_附录一级条标题"/>
    <w:next w:val="60"/>
    <w:autoRedefine/>
    <w:qFormat/>
    <w:uiPriority w:val="0"/>
    <w:pPr>
      <w:widowControl w:val="0"/>
      <w:numPr>
        <w:ilvl w:val="1"/>
        <w:numId w:val="3"/>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3">
    <w:name w:val="标准文件_附录二级条标题"/>
    <w:basedOn w:val="82"/>
    <w:next w:val="60"/>
    <w:autoRedefine/>
    <w:qFormat/>
    <w:uiPriority w:val="0"/>
    <w:pPr>
      <w:widowControl/>
      <w:numPr>
        <w:ilvl w:val="2"/>
      </w:numPr>
      <w:wordWrap w:val="0"/>
      <w:overflowPunct w:val="0"/>
      <w:autoSpaceDE w:val="0"/>
      <w:autoSpaceDN w:val="0"/>
      <w:textAlignment w:val="baseline"/>
      <w:outlineLvl w:val="3"/>
    </w:pPr>
  </w:style>
  <w:style w:type="paragraph" w:customStyle="1" w:styleId="84">
    <w:name w:val="标准文件_附录公式"/>
    <w:basedOn w:val="59"/>
    <w:next w:val="59"/>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5">
    <w:name w:val="标准文件_附录三级条标题"/>
    <w:next w:val="60"/>
    <w:autoRedefine/>
    <w:qFormat/>
    <w:uiPriority w:val="0"/>
    <w:pPr>
      <w:widowControl w:val="0"/>
      <w:numPr>
        <w:ilvl w:val="3"/>
        <w:numId w:val="3"/>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附录四级条标题"/>
    <w:next w:val="60"/>
    <w:autoRedefine/>
    <w:qFormat/>
    <w:uiPriority w:val="0"/>
    <w:pPr>
      <w:widowControl w:val="0"/>
      <w:numPr>
        <w:ilvl w:val="4"/>
        <w:numId w:val="3"/>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7">
    <w:name w:val="标准文件_附录图标题"/>
    <w:next w:val="60"/>
    <w:autoRedefine/>
    <w:qFormat/>
    <w:uiPriority w:val="0"/>
    <w:pPr>
      <w:numPr>
        <w:ilvl w:val="1"/>
        <w:numId w:val="5"/>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8">
    <w:name w:val="标准文件_附录五级条标题"/>
    <w:next w:val="60"/>
    <w:qFormat/>
    <w:uiPriority w:val="0"/>
    <w:pPr>
      <w:widowControl w:val="0"/>
      <w:numPr>
        <w:ilvl w:val="5"/>
        <w:numId w:val="3"/>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9">
    <w:name w:val="标准文件_附录英文标识"/>
    <w:next w:val="14"/>
    <w:autoRedefine/>
    <w:qFormat/>
    <w:uiPriority w:val="0"/>
    <w:pPr>
      <w:numPr>
        <w:ilvl w:val="0"/>
        <w:numId w:val="6"/>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0">
    <w:name w:val="正文文本 字符"/>
    <w:link w:val="14"/>
    <w:autoRedefine/>
    <w:qFormat/>
    <w:uiPriority w:val="0"/>
    <w:rPr>
      <w:kern w:val="2"/>
      <w:sz w:val="21"/>
      <w:szCs w:val="21"/>
    </w:rPr>
  </w:style>
  <w:style w:type="paragraph" w:customStyle="1" w:styleId="91">
    <w:name w:val="标准文件_附录章标题"/>
    <w:next w:val="60"/>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2">
    <w:name w:val="标准文件_公式后的破折号"/>
    <w:basedOn w:val="60"/>
    <w:next w:val="60"/>
    <w:autoRedefine/>
    <w:qFormat/>
    <w:uiPriority w:val="0"/>
    <w:pPr>
      <w:ind w:left="488" w:leftChars="200" w:hanging="289" w:hangingChars="290"/>
    </w:pPr>
  </w:style>
  <w:style w:type="paragraph" w:customStyle="1" w:styleId="93">
    <w:name w:val="标准文件_前言、引言标题"/>
    <w:next w:val="1"/>
    <w:autoRedefine/>
    <w:qFormat/>
    <w:uiPriority w:val="0"/>
    <w:pPr>
      <w:numPr>
        <w:ilvl w:val="0"/>
        <w:numId w:val="7"/>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4">
    <w:name w:val="标准文件_目次、标准名称标题"/>
    <w:basedOn w:val="93"/>
    <w:next w:val="60"/>
    <w:qFormat/>
    <w:uiPriority w:val="0"/>
    <w:pPr>
      <w:spacing w:line="460" w:lineRule="exact"/>
      <w:ind w:left="0" w:firstLine="0"/>
    </w:pPr>
  </w:style>
  <w:style w:type="paragraph" w:customStyle="1" w:styleId="95">
    <w:name w:val="标准文件_目录标题"/>
    <w:basedOn w:val="1"/>
    <w:autoRedefine/>
    <w:qFormat/>
    <w:uiPriority w:val="0"/>
    <w:pPr>
      <w:spacing w:before="480" w:afterLines="150" w:line="240" w:lineRule="auto"/>
      <w:jc w:val="center"/>
    </w:pPr>
    <w:rPr>
      <w:rFonts w:ascii="黑体" w:eastAsia="黑体"/>
      <w:sz w:val="32"/>
    </w:rPr>
  </w:style>
  <w:style w:type="paragraph" w:customStyle="1" w:styleId="96">
    <w:name w:val="标准文件_破折号列项"/>
    <w:qFormat/>
    <w:uiPriority w:val="0"/>
    <w:pPr>
      <w:numPr>
        <w:ilvl w:val="0"/>
        <w:numId w:val="8"/>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7">
    <w:name w:val="标准文件_破折号列项（二级）"/>
    <w:basedOn w:val="96"/>
    <w:qFormat/>
    <w:uiPriority w:val="0"/>
    <w:pPr>
      <w:numPr>
        <w:numId w:val="9"/>
      </w:numPr>
    </w:pPr>
  </w:style>
  <w:style w:type="paragraph" w:customStyle="1" w:styleId="98">
    <w:name w:val="标准文件_三级条标题"/>
    <w:basedOn w:val="69"/>
    <w:next w:val="60"/>
    <w:autoRedefine/>
    <w:qFormat/>
    <w:uiPriority w:val="0"/>
    <w:pPr>
      <w:widowControl/>
      <w:outlineLvl w:val="3"/>
    </w:pPr>
  </w:style>
  <w:style w:type="character" w:customStyle="1" w:styleId="99">
    <w:name w:val="不明显参考1"/>
    <w:qFormat/>
    <w:uiPriority w:val="31"/>
    <w:rPr>
      <w:smallCaps/>
      <w:color w:val="C0504D"/>
      <w:u w:val="single"/>
    </w:rPr>
  </w:style>
  <w:style w:type="paragraph" w:customStyle="1" w:styleId="100">
    <w:name w:val="标准文件_示例后续"/>
    <w:basedOn w:val="1"/>
    <w:autoRedefine/>
    <w:qFormat/>
    <w:uiPriority w:val="0"/>
    <w:pPr>
      <w:adjustRightInd/>
      <w:spacing w:line="240" w:lineRule="auto"/>
      <w:ind w:firstLine="200" w:firstLineChars="200"/>
    </w:pPr>
    <w:rPr>
      <w:sz w:val="18"/>
      <w:szCs w:val="24"/>
    </w:rPr>
  </w:style>
  <w:style w:type="paragraph" w:customStyle="1" w:styleId="101">
    <w:name w:val="标准文件_数字编号列项"/>
    <w:qFormat/>
    <w:uiPriority w:val="0"/>
    <w:pPr>
      <w:numPr>
        <w:ilvl w:val="0"/>
        <w:numId w:val="10"/>
      </w:numPr>
      <w:jc w:val="both"/>
    </w:pPr>
    <w:rPr>
      <w:rFonts w:ascii="宋体" w:hAnsi="宋体" w:eastAsia="宋体" w:cs="Times New Roman"/>
      <w:sz w:val="21"/>
      <w:lang w:val="en-US" w:eastAsia="zh-CN" w:bidi="ar-SA"/>
    </w:rPr>
  </w:style>
  <w:style w:type="paragraph" w:customStyle="1" w:styleId="102">
    <w:name w:val="标准文件_四级条标题"/>
    <w:next w:val="60"/>
    <w:autoRedefine/>
    <w:qFormat/>
    <w:uiPriority w:val="0"/>
    <w:pPr>
      <w:widowControl w:val="0"/>
      <w:numPr>
        <w:ilvl w:val="5"/>
        <w:numId w:val="11"/>
      </w:numPr>
      <w:spacing w:beforeLines="50" w:afterLines="50"/>
      <w:jc w:val="both"/>
      <w:outlineLvl w:val="4"/>
    </w:pPr>
    <w:rPr>
      <w:rFonts w:ascii="黑体" w:hAnsi="Times New Roman" w:eastAsia="黑体" w:cs="Times New Roman"/>
      <w:sz w:val="21"/>
      <w:lang w:val="en-US" w:eastAsia="zh-CN" w:bidi="ar-SA"/>
    </w:rPr>
  </w:style>
  <w:style w:type="character" w:customStyle="1" w:styleId="103">
    <w:name w:val="脚注文本 字符"/>
    <w:link w:val="22"/>
    <w:autoRedefine/>
    <w:semiHidden/>
    <w:qFormat/>
    <w:uiPriority w:val="0"/>
    <w:rPr>
      <w:rFonts w:ascii="宋体"/>
      <w:kern w:val="2"/>
      <w:sz w:val="18"/>
      <w:szCs w:val="18"/>
    </w:rPr>
  </w:style>
  <w:style w:type="paragraph" w:customStyle="1" w:styleId="104">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60"/>
    <w:qFormat/>
    <w:uiPriority w:val="0"/>
    <w:pPr>
      <w:numPr>
        <w:ilvl w:val="0"/>
        <w:numId w:val="12"/>
      </w:numPr>
      <w:spacing w:line="240" w:lineRule="auto"/>
      <w:jc w:val="left"/>
    </w:pPr>
    <w:rPr>
      <w:rFonts w:ascii="宋体" w:hAnsi="宋体"/>
      <w:sz w:val="18"/>
    </w:rPr>
  </w:style>
  <w:style w:type="character" w:customStyle="1" w:styleId="106">
    <w:name w:val="标准文件_图表脚注内容"/>
    <w:autoRedefine/>
    <w:qFormat/>
    <w:uiPriority w:val="0"/>
    <w:rPr>
      <w:rFonts w:ascii="宋体" w:hAnsi="宋体" w:eastAsia="宋体" w:cs="Times New Roman"/>
      <w:spacing w:val="0"/>
      <w:sz w:val="18"/>
      <w:vertAlign w:val="superscript"/>
    </w:rPr>
  </w:style>
  <w:style w:type="paragraph" w:customStyle="1" w:styleId="107">
    <w:name w:val="标准文件_五级条标题"/>
    <w:next w:val="60"/>
    <w:qFormat/>
    <w:uiPriority w:val="0"/>
    <w:pPr>
      <w:widowControl w:val="0"/>
      <w:numPr>
        <w:ilvl w:val="6"/>
        <w:numId w:val="11"/>
      </w:numPr>
      <w:spacing w:beforeLines="50" w:afterLines="50"/>
      <w:jc w:val="both"/>
      <w:outlineLvl w:val="5"/>
    </w:pPr>
    <w:rPr>
      <w:rFonts w:ascii="黑体" w:hAnsi="Times New Roman" w:eastAsia="黑体" w:cs="Times New Roman"/>
      <w:sz w:val="21"/>
      <w:lang w:val="en-US" w:eastAsia="zh-CN" w:bidi="ar-SA"/>
    </w:rPr>
  </w:style>
  <w:style w:type="paragraph" w:customStyle="1" w:styleId="108">
    <w:name w:val="标准文件_章标题"/>
    <w:next w:val="60"/>
    <w:autoRedefine/>
    <w:qFormat/>
    <w:uiPriority w:val="0"/>
    <w:pPr>
      <w:numPr>
        <w:ilvl w:val="1"/>
        <w:numId w:val="11"/>
      </w:numPr>
      <w:spacing w:beforeLines="100" w:afterLines="100"/>
      <w:jc w:val="both"/>
      <w:outlineLvl w:val="0"/>
    </w:pPr>
    <w:rPr>
      <w:rFonts w:ascii="黑体" w:hAnsi="Times New Roman" w:eastAsia="黑体" w:cs="Times New Roman"/>
      <w:sz w:val="21"/>
      <w:lang w:val="en-US" w:eastAsia="zh-CN" w:bidi="ar-SA"/>
    </w:rPr>
  </w:style>
  <w:style w:type="paragraph" w:customStyle="1" w:styleId="109">
    <w:name w:val="标准文件_一级条标题"/>
    <w:basedOn w:val="108"/>
    <w:next w:val="60"/>
    <w:autoRedefine/>
    <w:qFormat/>
    <w:uiPriority w:val="0"/>
    <w:pPr>
      <w:numPr>
        <w:ilvl w:val="0"/>
        <w:numId w:val="0"/>
      </w:numPr>
      <w:spacing w:before="120" w:beforeLines="50" w:after="120" w:afterLines="50" w:line="312" w:lineRule="auto"/>
      <w:ind w:firstLine="420" w:firstLineChars="200"/>
      <w:outlineLvl w:val="1"/>
    </w:pPr>
    <w:rPr>
      <w:rFonts w:hAnsi="黑体"/>
    </w:rPr>
  </w:style>
  <w:style w:type="paragraph" w:customStyle="1" w:styleId="110">
    <w:name w:val="标准文件_一致程度"/>
    <w:basedOn w:val="1"/>
    <w:autoRedefine/>
    <w:qFormat/>
    <w:uiPriority w:val="0"/>
    <w:pPr>
      <w:spacing w:line="440" w:lineRule="exact"/>
      <w:jc w:val="center"/>
    </w:pPr>
    <w:rPr>
      <w:sz w:val="28"/>
    </w:rPr>
  </w:style>
  <w:style w:type="paragraph" w:customStyle="1" w:styleId="111">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2">
    <w:name w:val="标准文件_英文图表脚注"/>
    <w:basedOn w:val="59"/>
    <w:qFormat/>
    <w:uiPriority w:val="0"/>
    <w:pPr>
      <w:widowControl/>
      <w:adjustRightInd/>
      <w:snapToGrid/>
      <w:spacing w:line="240" w:lineRule="auto"/>
      <w:ind w:left="79" w:hanging="79" w:hangingChars="80"/>
    </w:pPr>
    <w:rPr>
      <w:rFonts w:ascii="宋体" w:hAnsi="宋体"/>
    </w:rPr>
  </w:style>
  <w:style w:type="paragraph" w:customStyle="1" w:styleId="113">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4">
    <w:name w:val="标准文件_英文注："/>
    <w:basedOn w:val="1"/>
    <w:next w:val="60"/>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5">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6">
    <w:name w:val="标准文件_正文表标题"/>
    <w:next w:val="60"/>
    <w:autoRedefine/>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7">
    <w:name w:val="标准文件_正文公式"/>
    <w:basedOn w:val="1"/>
    <w:next w:val="59"/>
    <w:autoRedefine/>
    <w:qFormat/>
    <w:uiPriority w:val="0"/>
    <w:pPr>
      <w:tabs>
        <w:tab w:val="center" w:pos="4678"/>
        <w:tab w:val="right" w:leader="middleDot" w:pos="9356"/>
      </w:tabs>
      <w:spacing w:line="240" w:lineRule="auto"/>
    </w:pPr>
    <w:rPr>
      <w:rFonts w:ascii="宋体" w:hAnsi="宋体"/>
    </w:rPr>
  </w:style>
  <w:style w:type="paragraph" w:customStyle="1" w:styleId="118">
    <w:name w:val="标准文件_正文图标题"/>
    <w:next w:val="60"/>
    <w:autoRedefine/>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9">
    <w:name w:val="标准文件_正文英文表标题"/>
    <w:next w:val="60"/>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0">
    <w:name w:val="标准文件_正文英文图标题"/>
    <w:next w:val="60"/>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1">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22">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3">
    <w:name w:val="发布部门"/>
    <w:next w:val="60"/>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4">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5">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6">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7">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9">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0">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1">
    <w:name w:val="封面正文"/>
    <w:qFormat/>
    <w:uiPriority w:val="0"/>
    <w:pPr>
      <w:jc w:val="both"/>
    </w:pPr>
    <w:rPr>
      <w:rFonts w:ascii="Times New Roman" w:hAnsi="Times New Roman" w:eastAsia="宋体" w:cs="Times New Roman"/>
      <w:lang w:val="en-US" w:eastAsia="zh-CN" w:bidi="ar-SA"/>
    </w:rPr>
  </w:style>
  <w:style w:type="paragraph" w:customStyle="1" w:styleId="132">
    <w:name w:val="附录二级无标题条"/>
    <w:basedOn w:val="1"/>
    <w:next w:val="60"/>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3">
    <w:name w:val="附录三级无标题条"/>
    <w:basedOn w:val="132"/>
    <w:next w:val="60"/>
    <w:autoRedefine/>
    <w:qFormat/>
    <w:uiPriority w:val="0"/>
    <w:pPr>
      <w:outlineLvl w:val="4"/>
    </w:pPr>
  </w:style>
  <w:style w:type="paragraph" w:customStyle="1" w:styleId="134">
    <w:name w:val="附录四级无标题条"/>
    <w:basedOn w:val="133"/>
    <w:next w:val="60"/>
    <w:qFormat/>
    <w:uiPriority w:val="0"/>
    <w:pPr>
      <w:outlineLvl w:val="5"/>
    </w:pPr>
  </w:style>
  <w:style w:type="paragraph" w:customStyle="1" w:styleId="135">
    <w:name w:val="附录图"/>
    <w:next w:val="60"/>
    <w:autoRedefine/>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6">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7">
    <w:name w:val="附录五级无标题条"/>
    <w:basedOn w:val="134"/>
    <w:next w:val="60"/>
    <w:autoRedefine/>
    <w:qFormat/>
    <w:uiPriority w:val="0"/>
    <w:pPr>
      <w:outlineLvl w:val="6"/>
    </w:pPr>
  </w:style>
  <w:style w:type="paragraph" w:customStyle="1" w:styleId="138">
    <w:name w:val="附录性质"/>
    <w:basedOn w:val="1"/>
    <w:qFormat/>
    <w:uiPriority w:val="0"/>
    <w:pPr>
      <w:widowControl/>
      <w:adjustRightInd/>
      <w:jc w:val="center"/>
    </w:pPr>
    <w:rPr>
      <w:rFonts w:ascii="黑体" w:eastAsia="黑体"/>
    </w:rPr>
  </w:style>
  <w:style w:type="paragraph" w:customStyle="1" w:styleId="139">
    <w:name w:val="附录一级无标题条"/>
    <w:basedOn w:val="91"/>
    <w:next w:val="60"/>
    <w:autoRedefine/>
    <w:qFormat/>
    <w:uiPriority w:val="0"/>
    <w:pPr>
      <w:autoSpaceDN w:val="0"/>
      <w:outlineLvl w:val="2"/>
    </w:pPr>
    <w:rPr>
      <w:rFonts w:ascii="宋体" w:hAnsi="宋体" w:eastAsia="宋体"/>
    </w:rPr>
  </w:style>
  <w:style w:type="character" w:customStyle="1" w:styleId="140">
    <w:name w:val="个人答复风格"/>
    <w:autoRedefine/>
    <w:qFormat/>
    <w:uiPriority w:val="0"/>
    <w:rPr>
      <w:rFonts w:ascii="Arial" w:hAnsi="Arial" w:eastAsia="宋体" w:cs="Arial"/>
      <w:color w:val="auto"/>
      <w:spacing w:val="0"/>
      <w:sz w:val="20"/>
    </w:rPr>
  </w:style>
  <w:style w:type="character" w:customStyle="1" w:styleId="141">
    <w:name w:val="个人撰写风格"/>
    <w:autoRedefine/>
    <w:qFormat/>
    <w:uiPriority w:val="0"/>
    <w:rPr>
      <w:rFonts w:ascii="Arial" w:hAnsi="Arial" w:eastAsia="宋体" w:cs="Arial"/>
      <w:color w:val="auto"/>
      <w:spacing w:val="0"/>
      <w:sz w:val="20"/>
    </w:rPr>
  </w:style>
  <w:style w:type="paragraph" w:customStyle="1" w:styleId="142">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3">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4">
    <w:name w:val="列项·"/>
    <w:basedOn w:val="60"/>
    <w:autoRedefine/>
    <w:qFormat/>
    <w:uiPriority w:val="0"/>
    <w:pPr>
      <w:tabs>
        <w:tab w:val="left" w:pos="840"/>
      </w:tabs>
    </w:pPr>
  </w:style>
  <w:style w:type="paragraph" w:customStyle="1" w:styleId="14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6">
    <w:name w:val="目录 21"/>
    <w:basedOn w:val="1"/>
    <w:next w:val="1"/>
    <w:autoRedefine/>
    <w:semiHidden/>
    <w:qFormat/>
    <w:uiPriority w:val="0"/>
    <w:pPr>
      <w:adjustRightInd/>
      <w:spacing w:line="240" w:lineRule="auto"/>
      <w:jc w:val="left"/>
    </w:pPr>
    <w:rPr>
      <w:bCs/>
      <w:iCs/>
    </w:rPr>
  </w:style>
  <w:style w:type="paragraph" w:customStyle="1" w:styleId="147">
    <w:name w:val="目录 31"/>
    <w:basedOn w:val="1"/>
    <w:next w:val="1"/>
    <w:autoRedefine/>
    <w:semiHidden/>
    <w:qFormat/>
    <w:uiPriority w:val="0"/>
    <w:pPr>
      <w:spacing w:line="240" w:lineRule="auto"/>
    </w:pPr>
    <w:rPr>
      <w:rFonts w:ascii="宋体" w:hAnsi="宋体"/>
      <w:iCs/>
    </w:rPr>
  </w:style>
  <w:style w:type="paragraph" w:customStyle="1" w:styleId="148">
    <w:name w:val="目录 41"/>
    <w:basedOn w:val="1"/>
    <w:next w:val="1"/>
    <w:autoRedefine/>
    <w:semiHidden/>
    <w:qFormat/>
    <w:uiPriority w:val="0"/>
    <w:pPr>
      <w:adjustRightInd/>
      <w:spacing w:line="240" w:lineRule="auto"/>
      <w:jc w:val="left"/>
    </w:pPr>
  </w:style>
  <w:style w:type="paragraph" w:customStyle="1" w:styleId="149">
    <w:name w:val="目录 51"/>
    <w:basedOn w:val="1"/>
    <w:next w:val="1"/>
    <w:autoRedefine/>
    <w:semiHidden/>
    <w:qFormat/>
    <w:uiPriority w:val="0"/>
    <w:pPr>
      <w:spacing w:line="240" w:lineRule="auto"/>
    </w:pPr>
    <w:rPr>
      <w:rFonts w:ascii="宋体" w:hAnsi="宋体"/>
    </w:rPr>
  </w:style>
  <w:style w:type="paragraph" w:customStyle="1" w:styleId="150">
    <w:name w:val="目录 61"/>
    <w:basedOn w:val="1"/>
    <w:next w:val="1"/>
    <w:autoRedefine/>
    <w:semiHidden/>
    <w:qFormat/>
    <w:uiPriority w:val="0"/>
    <w:pPr>
      <w:adjustRightInd/>
      <w:spacing w:line="240" w:lineRule="auto"/>
      <w:jc w:val="left"/>
    </w:pPr>
  </w:style>
  <w:style w:type="paragraph" w:customStyle="1" w:styleId="151">
    <w:name w:val="目录 71"/>
    <w:basedOn w:val="150"/>
    <w:autoRedefine/>
    <w:semiHidden/>
    <w:qFormat/>
    <w:uiPriority w:val="0"/>
    <w:pPr>
      <w:ind w:left="1260"/>
    </w:pPr>
  </w:style>
  <w:style w:type="paragraph" w:customStyle="1" w:styleId="152">
    <w:name w:val="目录 81"/>
    <w:basedOn w:val="151"/>
    <w:autoRedefine/>
    <w:semiHidden/>
    <w:qFormat/>
    <w:uiPriority w:val="0"/>
    <w:pPr>
      <w:ind w:left="1470"/>
    </w:pPr>
  </w:style>
  <w:style w:type="paragraph" w:customStyle="1" w:styleId="153">
    <w:name w:val="目录 91"/>
    <w:basedOn w:val="152"/>
    <w:autoRedefine/>
    <w:semiHidden/>
    <w:qFormat/>
    <w:uiPriority w:val="0"/>
    <w:pPr>
      <w:ind w:left="1680"/>
    </w:pPr>
  </w:style>
  <w:style w:type="paragraph" w:customStyle="1" w:styleId="154">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5">
    <w:name w:val="其他发布部门"/>
    <w:basedOn w:val="123"/>
    <w:qFormat/>
    <w:uiPriority w:val="0"/>
    <w:pPr>
      <w:framePr w:wrap="around"/>
      <w:spacing w:line="0" w:lineRule="atLeast"/>
    </w:pPr>
    <w:rPr>
      <w:rFonts w:ascii="黑体" w:eastAsia="黑体"/>
      <w:b w:val="0"/>
    </w:rPr>
  </w:style>
  <w:style w:type="paragraph" w:customStyle="1" w:styleId="156">
    <w:name w:val="前言标题"/>
    <w:next w:val="1"/>
    <w:autoRedefine/>
    <w:qFormat/>
    <w:uiPriority w:val="0"/>
    <w:pPr>
      <w:numPr>
        <w:ilvl w:val="0"/>
        <w:numId w:val="1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7">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8">
    <w:name w:val="实施日期"/>
    <w:basedOn w:val="124"/>
    <w:autoRedefine/>
    <w:qFormat/>
    <w:uiPriority w:val="0"/>
    <w:pPr>
      <w:framePr w:hSpace="0" w:wrap="around" w:xAlign="right"/>
      <w:jc w:val="right"/>
    </w:pPr>
  </w:style>
  <w:style w:type="paragraph" w:customStyle="1" w:styleId="159">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60">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60"/>
    <w:autoRedefine/>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qFormat/>
    <w:uiPriority w:val="0"/>
    <w:pPr>
      <w:numPr>
        <w:ilvl w:val="6"/>
        <w:numId w:val="20"/>
      </w:numPr>
      <w:adjustRightInd/>
    </w:pPr>
    <w:rPr>
      <w:szCs w:val="24"/>
    </w:rPr>
  </w:style>
  <w:style w:type="paragraph" w:customStyle="1" w:styleId="163">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4">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autoRedefine/>
    <w:qFormat/>
    <w:uiPriority w:val="0"/>
    <w:pPr>
      <w:ind w:left="1406" w:leftChars="0" w:hanging="499" w:firstLineChars="0"/>
    </w:pPr>
  </w:style>
  <w:style w:type="paragraph" w:customStyle="1" w:styleId="166">
    <w:name w:val="标准文件_一级无标题"/>
    <w:basedOn w:val="109"/>
    <w:qFormat/>
    <w:uiPriority w:val="0"/>
    <w:pPr>
      <w:spacing w:beforeLines="0" w:afterLines="0"/>
      <w:outlineLvl w:val="9"/>
    </w:pPr>
    <w:rPr>
      <w:rFonts w:ascii="宋体" w:eastAsia="宋体"/>
    </w:rPr>
  </w:style>
  <w:style w:type="paragraph" w:customStyle="1" w:styleId="167">
    <w:name w:val="标准文件_五级无标题"/>
    <w:basedOn w:val="107"/>
    <w:autoRedefine/>
    <w:qFormat/>
    <w:uiPriority w:val="0"/>
    <w:pPr>
      <w:spacing w:beforeLines="0" w:afterLines="0"/>
      <w:outlineLvl w:val="9"/>
    </w:pPr>
    <w:rPr>
      <w:rFonts w:ascii="宋体" w:eastAsia="宋体"/>
    </w:rPr>
  </w:style>
  <w:style w:type="paragraph" w:customStyle="1" w:styleId="168">
    <w:name w:val="标准文件_三级无标题"/>
    <w:basedOn w:val="98"/>
    <w:autoRedefine/>
    <w:qFormat/>
    <w:uiPriority w:val="0"/>
    <w:pPr>
      <w:spacing w:beforeLines="0" w:afterLines="0"/>
      <w:outlineLvl w:val="9"/>
    </w:pPr>
    <w:rPr>
      <w:rFonts w:ascii="宋体" w:eastAsia="宋体"/>
    </w:rPr>
  </w:style>
  <w:style w:type="paragraph" w:customStyle="1" w:styleId="169">
    <w:name w:val="标准文件_二级无标题"/>
    <w:basedOn w:val="69"/>
    <w:autoRedefine/>
    <w:qFormat/>
    <w:uiPriority w:val="0"/>
    <w:pPr>
      <w:spacing w:beforeLines="0" w:afterLines="0"/>
      <w:outlineLvl w:val="9"/>
    </w:pPr>
    <w:rPr>
      <w:rFonts w:ascii="宋体" w:eastAsia="宋体"/>
    </w:rPr>
  </w:style>
  <w:style w:type="paragraph" w:customStyle="1" w:styleId="170">
    <w:name w:val="标准_四级无标题"/>
    <w:basedOn w:val="102"/>
    <w:next w:val="60"/>
    <w:autoRedefine/>
    <w:qFormat/>
    <w:uiPriority w:val="0"/>
    <w:rPr>
      <w:rFonts w:eastAsia="宋体"/>
    </w:rPr>
  </w:style>
  <w:style w:type="paragraph" w:customStyle="1" w:styleId="171">
    <w:name w:val="标准文件_四级无标题"/>
    <w:basedOn w:val="102"/>
    <w:qFormat/>
    <w:uiPriority w:val="0"/>
    <w:pPr>
      <w:spacing w:beforeLines="0" w:afterLines="0"/>
      <w:outlineLvl w:val="9"/>
    </w:pPr>
    <w:rPr>
      <w:rFonts w:ascii="宋体" w:hAnsi="黑体" w:eastAsia="宋体"/>
      <w:szCs w:val="52"/>
    </w:rPr>
  </w:style>
  <w:style w:type="paragraph" w:customStyle="1" w:styleId="172">
    <w:name w:val="标准文件_大写罗马数字编号列项"/>
    <w:basedOn w:val="60"/>
    <w:qFormat/>
    <w:uiPriority w:val="0"/>
    <w:pPr>
      <w:numPr>
        <w:ilvl w:val="0"/>
        <w:numId w:val="23"/>
      </w:numPr>
      <w:ind w:firstLine="0" w:firstLineChars="0"/>
    </w:pPr>
    <w:rPr>
      <w:rFonts w:ascii="Times New Roman" w:cs="Arial"/>
      <w:szCs w:val="28"/>
    </w:rPr>
  </w:style>
  <w:style w:type="paragraph" w:customStyle="1" w:styleId="173">
    <w:name w:val="标准文件_小写罗马数字编号列项"/>
    <w:basedOn w:val="60"/>
    <w:autoRedefine/>
    <w:qFormat/>
    <w:uiPriority w:val="0"/>
    <w:pPr>
      <w:numPr>
        <w:ilvl w:val="0"/>
        <w:numId w:val="24"/>
      </w:numPr>
      <w:ind w:firstLine="0" w:firstLineChars="0"/>
    </w:pPr>
    <w:rPr>
      <w:rFonts w:cs="Arial"/>
      <w:szCs w:val="28"/>
    </w:rPr>
  </w:style>
  <w:style w:type="paragraph" w:customStyle="1" w:styleId="174">
    <w:name w:val="标准文件_附录标题"/>
    <w:basedOn w:val="80"/>
    <w:autoRedefine/>
    <w:qFormat/>
    <w:uiPriority w:val="0"/>
    <w:pPr>
      <w:numPr>
        <w:numId w:val="0"/>
      </w:numPr>
      <w:spacing w:after="280"/>
      <w:outlineLvl w:val="9"/>
    </w:pPr>
  </w:style>
  <w:style w:type="paragraph" w:customStyle="1" w:styleId="175">
    <w:name w:val="标准文件_二级项"/>
    <w:qFormat/>
    <w:uiPriority w:val="0"/>
    <w:rPr>
      <w:rFonts w:ascii="宋体" w:hAnsi="Times New Roman" w:eastAsia="宋体" w:cs="Times New Roman"/>
      <w:sz w:val="21"/>
      <w:lang w:val="en-US" w:eastAsia="zh-CN" w:bidi="ar-SA"/>
    </w:rPr>
  </w:style>
  <w:style w:type="paragraph" w:customStyle="1" w:styleId="176">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7">
    <w:name w:val="图表脚注说明"/>
    <w:basedOn w:val="1"/>
    <w:next w:val="60"/>
    <w:qFormat/>
    <w:uiPriority w:val="0"/>
    <w:pPr>
      <w:numPr>
        <w:ilvl w:val="0"/>
        <w:numId w:val="25"/>
      </w:numPr>
      <w:adjustRightInd/>
      <w:spacing w:line="240" w:lineRule="auto"/>
    </w:pPr>
    <w:rPr>
      <w:rFonts w:ascii="宋体" w:hAnsi="Times New Roman"/>
      <w:sz w:val="18"/>
      <w:szCs w:val="18"/>
    </w:rPr>
  </w:style>
  <w:style w:type="paragraph" w:customStyle="1" w:styleId="178">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9">
    <w:name w:val="标准文件_索引字母"/>
    <w:next w:val="60"/>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60"/>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60"/>
    <w:qFormat/>
    <w:uiPriority w:val="0"/>
    <w:pPr>
      <w:ind w:firstLine="0" w:firstLineChars="0"/>
      <w:jc w:val="center"/>
    </w:pPr>
    <w:rPr>
      <w:sz w:val="18"/>
    </w:rPr>
  </w:style>
  <w:style w:type="paragraph" w:customStyle="1" w:styleId="183">
    <w:name w:val="标准文件_注："/>
    <w:next w:val="60"/>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60"/>
    <w:autoRedefine/>
    <w:qFormat/>
    <w:uiPriority w:val="0"/>
    <w:pPr>
      <w:ind w:firstLine="420"/>
    </w:pPr>
    <w:rPr>
      <w:sz w:val="18"/>
    </w:rPr>
  </w:style>
  <w:style w:type="paragraph" w:customStyle="1" w:styleId="187">
    <w:name w:val="标准文件_示例×："/>
    <w:basedOn w:val="1"/>
    <w:next w:val="186"/>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8">
    <w:name w:val="标准文件_段 Char"/>
    <w:link w:val="60"/>
    <w:qFormat/>
    <w:uiPriority w:val="0"/>
    <w:rPr>
      <w:rFonts w:ascii="宋体" w:hAnsi="Times New Roman"/>
      <w:sz w:val="21"/>
    </w:rPr>
  </w:style>
  <w:style w:type="paragraph" w:customStyle="1" w:styleId="189">
    <w:name w:val="标准文件_表格续"/>
    <w:basedOn w:val="60"/>
    <w:next w:val="60"/>
    <w:autoRedefine/>
    <w:qFormat/>
    <w:uiPriority w:val="0"/>
    <w:pPr>
      <w:jc w:val="center"/>
    </w:pPr>
    <w:rPr>
      <w:rFonts w:ascii="黑体" w:hAnsi="黑体" w:eastAsia="黑体"/>
    </w:rPr>
  </w:style>
  <w:style w:type="character" w:styleId="190">
    <w:name w:val="Placeholder Text"/>
    <w:basedOn w:val="31"/>
    <w:semiHidden/>
    <w:qFormat/>
    <w:uiPriority w:val="99"/>
    <w:rPr>
      <w:color w:val="808080"/>
    </w:rPr>
  </w:style>
  <w:style w:type="paragraph" w:customStyle="1" w:styleId="191">
    <w:name w:val="标准文件_二级项2"/>
    <w:basedOn w:val="60"/>
    <w:qFormat/>
    <w:uiPriority w:val="0"/>
    <w:pPr>
      <w:numPr>
        <w:ilvl w:val="1"/>
        <w:numId w:val="21"/>
      </w:numPr>
      <w:ind w:firstLine="0" w:firstLineChars="0"/>
    </w:pPr>
  </w:style>
  <w:style w:type="paragraph" w:customStyle="1" w:styleId="192">
    <w:name w:val="标准文件_三级项2"/>
    <w:basedOn w:val="60"/>
    <w:qFormat/>
    <w:uiPriority w:val="0"/>
    <w:pPr>
      <w:numPr>
        <w:ilvl w:val="0"/>
        <w:numId w:val="30"/>
      </w:numPr>
      <w:spacing w:line="300" w:lineRule="exact"/>
      <w:ind w:firstLineChars="0"/>
    </w:pPr>
    <w:rPr>
      <w:rFonts w:ascii="Times New Roman"/>
    </w:rPr>
  </w:style>
  <w:style w:type="paragraph" w:customStyle="1" w:styleId="193">
    <w:name w:val="标准文件_一级项2"/>
    <w:basedOn w:val="60"/>
    <w:autoRedefine/>
    <w:qFormat/>
    <w:uiPriority w:val="0"/>
    <w:pPr>
      <w:numPr>
        <w:ilvl w:val="0"/>
        <w:numId w:val="31"/>
      </w:numPr>
      <w:spacing w:line="300" w:lineRule="exact"/>
      <w:ind w:firstLineChars="0"/>
    </w:pPr>
    <w:rPr>
      <w:rFonts w:ascii="Times New Roman"/>
    </w:rPr>
  </w:style>
  <w:style w:type="paragraph" w:customStyle="1" w:styleId="194">
    <w:name w:val="标准文件_提示"/>
    <w:basedOn w:val="60"/>
    <w:next w:val="60"/>
    <w:autoRedefine/>
    <w:qFormat/>
    <w:uiPriority w:val="0"/>
    <w:pPr>
      <w:ind w:firstLine="420"/>
    </w:pPr>
    <w:rPr>
      <w:rFonts w:ascii="黑体" w:eastAsia="黑体"/>
    </w:rPr>
  </w:style>
  <w:style w:type="character" w:customStyle="1" w:styleId="195">
    <w:name w:val="标准文件_来源"/>
    <w:basedOn w:val="31"/>
    <w:autoRedefine/>
    <w:qFormat/>
    <w:uiPriority w:val="1"/>
    <w:rPr>
      <w:rFonts w:eastAsia="宋体"/>
      <w:sz w:val="21"/>
    </w:rPr>
  </w:style>
  <w:style w:type="paragraph" w:customStyle="1" w:styleId="196">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7">
    <w:name w:val="其他发布日期"/>
    <w:basedOn w:val="124"/>
    <w:autoRedefine/>
    <w:qFormat/>
    <w:uiPriority w:val="0"/>
    <w:pPr>
      <w:framePr w:w="3997" w:h="471" w:hRule="exact" w:hSpace="0" w:vSpace="181" w:wrap="around" w:vAnchor="page" w:hAnchor="page" w:x="1419" w:y="14097"/>
    </w:pPr>
  </w:style>
  <w:style w:type="paragraph" w:customStyle="1" w:styleId="198">
    <w:name w:val="其他实施日期"/>
    <w:basedOn w:val="158"/>
    <w:autoRedefine/>
    <w:qFormat/>
    <w:uiPriority w:val="0"/>
    <w:pPr>
      <w:framePr w:w="3997" w:h="471" w:hRule="exact" w:vSpace="181" w:wrap="around" w:vAnchor="page" w:hAnchor="page" w:x="7089" w:y="14097"/>
    </w:pPr>
  </w:style>
  <w:style w:type="paragraph" w:customStyle="1" w:styleId="199">
    <w:name w:val="标准文件_文件编号"/>
    <w:basedOn w:val="60"/>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0">
    <w:name w:val="标准文件_替换文件编号"/>
    <w:basedOn w:val="199"/>
    <w:qFormat/>
    <w:uiPriority w:val="0"/>
    <w:pPr>
      <w:framePr/>
      <w:spacing w:before="57"/>
    </w:pPr>
    <w:rPr>
      <w:sz w:val="21"/>
    </w:rPr>
  </w:style>
  <w:style w:type="paragraph" w:customStyle="1" w:styleId="201">
    <w:name w:val="标准文件_文件名称"/>
    <w:basedOn w:val="60"/>
    <w:next w:val="60"/>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2">
    <w:name w:val="标准文件_附录图标号"/>
    <w:basedOn w:val="60"/>
    <w:next w:val="60"/>
    <w:qFormat/>
    <w:uiPriority w:val="0"/>
    <w:pPr>
      <w:numPr>
        <w:ilvl w:val="0"/>
        <w:numId w:val="5"/>
      </w:numPr>
      <w:spacing w:line="14" w:lineRule="exact"/>
      <w:ind w:firstLine="0" w:firstLineChars="0"/>
      <w:jc w:val="center"/>
    </w:pPr>
    <w:rPr>
      <w:rFonts w:ascii="黑体" w:hAnsi="黑体" w:eastAsia="黑体"/>
      <w:vanish/>
      <w:sz w:val="2"/>
      <w:szCs w:val="21"/>
    </w:rPr>
  </w:style>
  <w:style w:type="paragraph" w:customStyle="1" w:styleId="203">
    <w:name w:val="标准文件_附录表标号"/>
    <w:basedOn w:val="60"/>
    <w:next w:val="60"/>
    <w:autoRedefine/>
    <w:qFormat/>
    <w:uiPriority w:val="0"/>
    <w:pPr>
      <w:numPr>
        <w:ilvl w:val="0"/>
        <w:numId w:val="4"/>
      </w:numPr>
      <w:spacing w:line="14" w:lineRule="exact"/>
      <w:ind w:firstLine="0" w:firstLineChars="0"/>
      <w:jc w:val="center"/>
    </w:pPr>
    <w:rPr>
      <w:rFonts w:eastAsia="黑体"/>
      <w:vanish/>
      <w:sz w:val="2"/>
    </w:rPr>
  </w:style>
  <w:style w:type="paragraph" w:customStyle="1" w:styleId="204">
    <w:name w:val="标准文件_引言一级条标题"/>
    <w:basedOn w:val="60"/>
    <w:next w:val="60"/>
    <w:qFormat/>
    <w:uiPriority w:val="0"/>
    <w:pPr>
      <w:numPr>
        <w:ilvl w:val="1"/>
        <w:numId w:val="7"/>
      </w:numPr>
      <w:spacing w:beforeLines="50" w:afterLines="50"/>
      <w:ind w:firstLineChars="0"/>
    </w:pPr>
    <w:rPr>
      <w:rFonts w:ascii="黑体" w:eastAsia="黑体"/>
    </w:rPr>
  </w:style>
  <w:style w:type="paragraph" w:customStyle="1" w:styleId="205">
    <w:name w:val="标准文件_引言二级条标题"/>
    <w:basedOn w:val="60"/>
    <w:next w:val="60"/>
    <w:autoRedefine/>
    <w:qFormat/>
    <w:uiPriority w:val="0"/>
    <w:pPr>
      <w:numPr>
        <w:ilvl w:val="2"/>
        <w:numId w:val="7"/>
      </w:numPr>
      <w:spacing w:beforeLines="50" w:afterLines="50"/>
      <w:ind w:firstLineChars="0"/>
    </w:pPr>
    <w:rPr>
      <w:rFonts w:ascii="黑体" w:eastAsia="黑体"/>
    </w:rPr>
  </w:style>
  <w:style w:type="paragraph" w:customStyle="1" w:styleId="206">
    <w:name w:val="标准文件_引言三级条标题"/>
    <w:basedOn w:val="60"/>
    <w:next w:val="60"/>
    <w:autoRedefine/>
    <w:qFormat/>
    <w:uiPriority w:val="0"/>
    <w:pPr>
      <w:numPr>
        <w:ilvl w:val="3"/>
        <w:numId w:val="7"/>
      </w:numPr>
      <w:spacing w:beforeLines="50" w:afterLines="50"/>
      <w:ind w:firstLineChars="0"/>
    </w:pPr>
    <w:rPr>
      <w:rFonts w:ascii="黑体" w:eastAsia="黑体"/>
    </w:rPr>
  </w:style>
  <w:style w:type="paragraph" w:customStyle="1" w:styleId="207">
    <w:name w:val="标准文件_引言四级条标题"/>
    <w:basedOn w:val="60"/>
    <w:next w:val="60"/>
    <w:qFormat/>
    <w:uiPriority w:val="0"/>
    <w:pPr>
      <w:numPr>
        <w:ilvl w:val="4"/>
        <w:numId w:val="7"/>
      </w:numPr>
      <w:spacing w:beforeLines="50" w:afterLines="50"/>
      <w:ind w:firstLineChars="0"/>
    </w:pPr>
    <w:rPr>
      <w:rFonts w:ascii="黑体" w:eastAsia="黑体"/>
    </w:rPr>
  </w:style>
  <w:style w:type="paragraph" w:customStyle="1" w:styleId="208">
    <w:name w:val="标准文件_引言五级条标题"/>
    <w:basedOn w:val="60"/>
    <w:next w:val="60"/>
    <w:autoRedefine/>
    <w:qFormat/>
    <w:uiPriority w:val="0"/>
    <w:pPr>
      <w:numPr>
        <w:ilvl w:val="5"/>
        <w:numId w:val="7"/>
      </w:numPr>
      <w:spacing w:beforeLines="50" w:afterLines="50"/>
      <w:ind w:firstLineChars="0"/>
    </w:pPr>
    <w:rPr>
      <w:rFonts w:ascii="黑体" w:eastAsia="黑体"/>
    </w:rPr>
  </w:style>
  <w:style w:type="paragraph" w:customStyle="1" w:styleId="209">
    <w:name w:val="标准文件_注后"/>
    <w:basedOn w:val="60"/>
    <w:qFormat/>
    <w:uiPriority w:val="0"/>
    <w:pPr>
      <w:ind w:left="811" w:firstLine="0" w:firstLineChars="0"/>
    </w:pPr>
    <w:rPr>
      <w:sz w:val="18"/>
    </w:rPr>
  </w:style>
  <w:style w:type="paragraph" w:customStyle="1" w:styleId="210">
    <w:name w:val="标准文件_注X后"/>
    <w:basedOn w:val="60"/>
    <w:autoRedefine/>
    <w:qFormat/>
    <w:uiPriority w:val="0"/>
    <w:pPr>
      <w:ind w:left="811" w:firstLine="0" w:firstLineChars="0"/>
    </w:pPr>
    <w:rPr>
      <w:sz w:val="18"/>
    </w:rPr>
  </w:style>
  <w:style w:type="paragraph" w:customStyle="1" w:styleId="211">
    <w:name w:val="标准文件_示例后"/>
    <w:basedOn w:val="60"/>
    <w:qFormat/>
    <w:uiPriority w:val="0"/>
    <w:pPr>
      <w:ind w:left="964" w:firstLine="0" w:firstLineChars="0"/>
    </w:pPr>
    <w:rPr>
      <w:sz w:val="18"/>
    </w:rPr>
  </w:style>
  <w:style w:type="paragraph" w:customStyle="1" w:styleId="212">
    <w:name w:val="标准文件_示例X后"/>
    <w:basedOn w:val="60"/>
    <w:link w:val="213"/>
    <w:autoRedefine/>
    <w:qFormat/>
    <w:uiPriority w:val="0"/>
    <w:pPr>
      <w:ind w:left="1049" w:firstLine="0" w:firstLineChars="0"/>
    </w:pPr>
    <w:rPr>
      <w:sz w:val="18"/>
    </w:rPr>
  </w:style>
  <w:style w:type="character" w:customStyle="1" w:styleId="213">
    <w:name w:val="标准文件_示例X后 字符"/>
    <w:basedOn w:val="188"/>
    <w:link w:val="212"/>
    <w:autoRedefine/>
    <w:qFormat/>
    <w:uiPriority w:val="0"/>
    <w:rPr>
      <w:rFonts w:ascii="宋体" w:hAnsi="Times New Roman"/>
      <w:sz w:val="18"/>
    </w:rPr>
  </w:style>
  <w:style w:type="paragraph" w:customStyle="1" w:styleId="214">
    <w:name w:val="标准文件_索引项"/>
    <w:basedOn w:val="60"/>
    <w:next w:val="60"/>
    <w:qFormat/>
    <w:uiPriority w:val="0"/>
    <w:pPr>
      <w:tabs>
        <w:tab w:val="right" w:leader="dot" w:pos="9356"/>
      </w:tabs>
      <w:ind w:left="210" w:hanging="210" w:firstLineChars="0"/>
      <w:jc w:val="left"/>
    </w:pPr>
  </w:style>
  <w:style w:type="paragraph" w:customStyle="1" w:styleId="215">
    <w:name w:val="标准文件_附录一级无标题"/>
    <w:basedOn w:val="82"/>
    <w:autoRedefine/>
    <w:qFormat/>
    <w:uiPriority w:val="0"/>
    <w:pPr>
      <w:spacing w:beforeLines="0" w:afterLines="0" w:line="276" w:lineRule="auto"/>
      <w:outlineLvl w:val="9"/>
    </w:pPr>
    <w:rPr>
      <w:rFonts w:ascii="宋体" w:eastAsia="宋体"/>
    </w:rPr>
  </w:style>
  <w:style w:type="paragraph" w:customStyle="1" w:styleId="216">
    <w:name w:val="标准文件_附录二级无标题"/>
    <w:basedOn w:val="83"/>
    <w:autoRedefine/>
    <w:qFormat/>
    <w:uiPriority w:val="0"/>
    <w:pPr>
      <w:spacing w:beforeLines="0" w:afterLines="0" w:line="276" w:lineRule="auto"/>
      <w:outlineLvl w:val="9"/>
    </w:pPr>
    <w:rPr>
      <w:rFonts w:ascii="宋体" w:eastAsia="宋体"/>
    </w:rPr>
  </w:style>
  <w:style w:type="paragraph" w:customStyle="1" w:styleId="217">
    <w:name w:val="标准文件_附录三级无标题"/>
    <w:basedOn w:val="85"/>
    <w:qFormat/>
    <w:uiPriority w:val="0"/>
    <w:pPr>
      <w:spacing w:beforeLines="0" w:afterLines="0" w:line="276" w:lineRule="auto"/>
      <w:outlineLvl w:val="9"/>
    </w:pPr>
    <w:rPr>
      <w:rFonts w:ascii="宋体" w:eastAsia="宋体"/>
    </w:rPr>
  </w:style>
  <w:style w:type="paragraph" w:customStyle="1" w:styleId="218">
    <w:name w:val="标准文件_附录四级无标题"/>
    <w:basedOn w:val="86"/>
    <w:autoRedefine/>
    <w:qFormat/>
    <w:uiPriority w:val="0"/>
    <w:pPr>
      <w:spacing w:beforeLines="0" w:afterLines="0" w:line="276" w:lineRule="auto"/>
      <w:outlineLvl w:val="9"/>
    </w:pPr>
    <w:rPr>
      <w:rFonts w:ascii="宋体" w:eastAsia="宋体"/>
    </w:rPr>
  </w:style>
  <w:style w:type="paragraph" w:customStyle="1" w:styleId="219">
    <w:name w:val="标准文件_附录五级无标题"/>
    <w:basedOn w:val="88"/>
    <w:qFormat/>
    <w:uiPriority w:val="0"/>
    <w:pPr>
      <w:spacing w:beforeLines="0" w:afterLines="0" w:line="276" w:lineRule="auto"/>
      <w:outlineLvl w:val="9"/>
    </w:pPr>
    <w:rPr>
      <w:rFonts w:ascii="宋体" w:eastAsia="宋体"/>
    </w:rPr>
  </w:style>
  <w:style w:type="paragraph" w:customStyle="1" w:styleId="220">
    <w:name w:val="标准文件_引言一级无标题"/>
    <w:basedOn w:val="204"/>
    <w:next w:val="60"/>
    <w:qFormat/>
    <w:uiPriority w:val="0"/>
    <w:pPr>
      <w:spacing w:beforeLines="0" w:afterLines="0" w:line="276" w:lineRule="auto"/>
    </w:pPr>
    <w:rPr>
      <w:rFonts w:ascii="宋体" w:eastAsia="宋体"/>
    </w:rPr>
  </w:style>
  <w:style w:type="paragraph" w:customStyle="1" w:styleId="221">
    <w:name w:val="标准文件_引言二级无标题"/>
    <w:basedOn w:val="205"/>
    <w:next w:val="60"/>
    <w:autoRedefine/>
    <w:qFormat/>
    <w:uiPriority w:val="0"/>
    <w:pPr>
      <w:spacing w:beforeLines="0" w:afterLines="0" w:line="276" w:lineRule="auto"/>
    </w:pPr>
    <w:rPr>
      <w:rFonts w:ascii="宋体" w:eastAsia="宋体"/>
    </w:rPr>
  </w:style>
  <w:style w:type="paragraph" w:customStyle="1" w:styleId="222">
    <w:name w:val="标准文件_引言三级无标题"/>
    <w:basedOn w:val="206"/>
    <w:autoRedefine/>
    <w:qFormat/>
    <w:uiPriority w:val="0"/>
    <w:pPr>
      <w:spacing w:beforeLines="0" w:afterLines="0" w:line="276" w:lineRule="auto"/>
    </w:pPr>
    <w:rPr>
      <w:rFonts w:ascii="宋体" w:eastAsia="宋体"/>
    </w:rPr>
  </w:style>
  <w:style w:type="paragraph" w:customStyle="1" w:styleId="223">
    <w:name w:val="标准文件_引言四级无标题"/>
    <w:basedOn w:val="207"/>
    <w:next w:val="60"/>
    <w:qFormat/>
    <w:uiPriority w:val="0"/>
    <w:pPr>
      <w:spacing w:beforeLines="0" w:afterLines="0" w:line="276" w:lineRule="auto"/>
    </w:pPr>
    <w:rPr>
      <w:rFonts w:ascii="宋体" w:eastAsia="宋体"/>
    </w:rPr>
  </w:style>
  <w:style w:type="paragraph" w:customStyle="1" w:styleId="224">
    <w:name w:val="标准文件_引言五级无标题"/>
    <w:basedOn w:val="208"/>
    <w:next w:val="60"/>
    <w:qFormat/>
    <w:uiPriority w:val="0"/>
    <w:pPr>
      <w:spacing w:beforeLines="0" w:afterLines="0" w:line="276" w:lineRule="auto"/>
    </w:pPr>
    <w:rPr>
      <w:rFonts w:ascii="宋体" w:eastAsia="宋体"/>
    </w:rPr>
  </w:style>
  <w:style w:type="paragraph" w:customStyle="1" w:styleId="225">
    <w:name w:val="标准文件_索引标题"/>
    <w:basedOn w:val="67"/>
    <w:next w:val="60"/>
    <w:qFormat/>
    <w:uiPriority w:val="0"/>
    <w:rPr>
      <w:rFonts w:hAnsi="黑体"/>
    </w:rPr>
  </w:style>
  <w:style w:type="paragraph" w:customStyle="1" w:styleId="226">
    <w:name w:val="标准文件_脚注内容"/>
    <w:basedOn w:val="60"/>
    <w:qFormat/>
    <w:uiPriority w:val="0"/>
    <w:pPr>
      <w:ind w:left="400" w:leftChars="200" w:hanging="200" w:hangingChars="200"/>
    </w:pPr>
    <w:rPr>
      <w:sz w:val="15"/>
    </w:rPr>
  </w:style>
  <w:style w:type="paragraph" w:customStyle="1" w:styleId="227">
    <w:name w:val="标准文件_术语条一"/>
    <w:basedOn w:val="166"/>
    <w:next w:val="60"/>
    <w:autoRedefine/>
    <w:qFormat/>
    <w:uiPriority w:val="0"/>
  </w:style>
  <w:style w:type="paragraph" w:customStyle="1" w:styleId="228">
    <w:name w:val="标准文件_术语条二"/>
    <w:basedOn w:val="169"/>
    <w:next w:val="60"/>
    <w:autoRedefine/>
    <w:qFormat/>
    <w:uiPriority w:val="0"/>
  </w:style>
  <w:style w:type="paragraph" w:customStyle="1" w:styleId="229">
    <w:name w:val="标准文件_术语条三"/>
    <w:basedOn w:val="168"/>
    <w:next w:val="60"/>
    <w:autoRedefine/>
    <w:qFormat/>
    <w:uiPriority w:val="0"/>
  </w:style>
  <w:style w:type="paragraph" w:customStyle="1" w:styleId="230">
    <w:name w:val="标准文件_术语条四"/>
    <w:basedOn w:val="171"/>
    <w:next w:val="60"/>
    <w:autoRedefine/>
    <w:qFormat/>
    <w:uiPriority w:val="0"/>
  </w:style>
  <w:style w:type="paragraph" w:customStyle="1" w:styleId="231">
    <w:name w:val="标准文件_术语条五"/>
    <w:basedOn w:val="167"/>
    <w:next w:val="60"/>
    <w:autoRedefine/>
    <w:qFormat/>
    <w:uiPriority w:val="0"/>
  </w:style>
  <w:style w:type="paragraph" w:customStyle="1" w:styleId="232">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3">
    <w:name w:val="发布"/>
    <w:basedOn w:val="31"/>
    <w:autoRedefine/>
    <w:qFormat/>
    <w:uiPriority w:val="0"/>
    <w:rPr>
      <w:rFonts w:ascii="黑体" w:eastAsia="黑体"/>
      <w:spacing w:val="85"/>
      <w:w w:val="100"/>
      <w:position w:val="3"/>
      <w:sz w:val="28"/>
      <w:szCs w:val="28"/>
    </w:rPr>
  </w:style>
  <w:style w:type="paragraph" w:customStyle="1" w:styleId="234">
    <w:name w:val="段"/>
    <w:link w:val="23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5">
    <w:name w:val="段 Char"/>
    <w:basedOn w:val="31"/>
    <w:link w:val="234"/>
    <w:autoRedefine/>
    <w:qFormat/>
    <w:uiPriority w:val="0"/>
    <w:rPr>
      <w:rFonts w:ascii="宋体" w:hAnsi="Times New Roman"/>
      <w:sz w:val="21"/>
    </w:rPr>
  </w:style>
  <w:style w:type="paragraph" w:customStyle="1" w:styleId="236">
    <w:name w:val="一级条标题"/>
    <w:next w:val="234"/>
    <w:autoRedefine/>
    <w:qFormat/>
    <w:uiPriority w:val="0"/>
    <w:pPr>
      <w:numPr>
        <w:ilvl w:val="1"/>
        <w:numId w:val="32"/>
      </w:numPr>
      <w:spacing w:before="120" w:beforeLines="50" w:after="120" w:afterLines="50" w:line="312" w:lineRule="auto"/>
      <w:outlineLvl w:val="2"/>
    </w:pPr>
    <w:rPr>
      <w:rFonts w:ascii="黑体" w:hAnsi="黑体" w:eastAsia="黑体" w:cs="Times New Roman"/>
      <w:sz w:val="21"/>
      <w:szCs w:val="21"/>
      <w:lang w:val="en-US" w:eastAsia="zh-CN" w:bidi="ar-SA"/>
    </w:rPr>
  </w:style>
  <w:style w:type="paragraph" w:customStyle="1" w:styleId="237">
    <w:name w:val="章标题"/>
    <w:next w:val="234"/>
    <w:autoRedefine/>
    <w:qFormat/>
    <w:uiPriority w:val="0"/>
    <w:pPr>
      <w:numPr>
        <w:ilvl w:val="0"/>
        <w:numId w:val="32"/>
      </w:numPr>
      <w:spacing w:before="240" w:beforeLines="100" w:after="240" w:afterLines="100" w:line="312" w:lineRule="auto"/>
      <w:jc w:val="both"/>
      <w:outlineLvl w:val="1"/>
    </w:pPr>
    <w:rPr>
      <w:rFonts w:ascii="黑体" w:hAnsi="黑体" w:eastAsia="黑体" w:cs="Times New Roman"/>
      <w:sz w:val="21"/>
      <w:lang w:val="en-US" w:eastAsia="zh-CN" w:bidi="ar-SA"/>
    </w:rPr>
  </w:style>
  <w:style w:type="paragraph" w:customStyle="1" w:styleId="238">
    <w:name w:val="二级条标题"/>
    <w:basedOn w:val="236"/>
    <w:next w:val="234"/>
    <w:qFormat/>
    <w:uiPriority w:val="0"/>
    <w:pPr>
      <w:spacing w:before="50" w:after="50"/>
      <w:outlineLvl w:val="3"/>
    </w:pPr>
  </w:style>
  <w:style w:type="paragraph" w:customStyle="1" w:styleId="239">
    <w:name w:val="数字编号列项（二级）"/>
    <w:autoRedefine/>
    <w:qFormat/>
    <w:uiPriority w:val="0"/>
    <w:pPr>
      <w:numPr>
        <w:ilvl w:val="1"/>
        <w:numId w:val="33"/>
      </w:numPr>
      <w:jc w:val="both"/>
    </w:pPr>
    <w:rPr>
      <w:rFonts w:ascii="宋体" w:hAnsi="Times New Roman" w:eastAsia="宋体" w:cs="Times New Roman"/>
      <w:sz w:val="21"/>
      <w:lang w:val="en-US" w:eastAsia="zh-CN" w:bidi="ar-SA"/>
    </w:rPr>
  </w:style>
  <w:style w:type="paragraph" w:customStyle="1" w:styleId="240">
    <w:name w:val="字母编号列项（一级）"/>
    <w:autoRedefine/>
    <w:qFormat/>
    <w:uiPriority w:val="0"/>
    <w:pPr>
      <w:numPr>
        <w:ilvl w:val="0"/>
        <w:numId w:val="33"/>
      </w:numPr>
      <w:spacing w:line="312" w:lineRule="auto"/>
      <w:jc w:val="both"/>
    </w:pPr>
    <w:rPr>
      <w:rFonts w:ascii="Times New Roman" w:hAnsi="Times New Roman" w:eastAsia="宋体" w:cs="Times New Roman"/>
      <w:sz w:val="21"/>
      <w:lang w:val="en-US" w:eastAsia="zh-CN" w:bidi="ar-SA"/>
    </w:rPr>
  </w:style>
  <w:style w:type="paragraph" w:customStyle="1" w:styleId="241">
    <w:name w:val="编号列项（三级）"/>
    <w:qFormat/>
    <w:uiPriority w:val="0"/>
    <w:pPr>
      <w:numPr>
        <w:ilvl w:val="2"/>
        <w:numId w:val="33"/>
      </w:numPr>
    </w:pPr>
    <w:rPr>
      <w:rFonts w:ascii="宋体" w:hAnsi="Times New Roman" w:eastAsia="宋体" w:cs="Times New Roman"/>
      <w:sz w:val="21"/>
      <w:lang w:val="en-US" w:eastAsia="zh-CN" w:bidi="ar-SA"/>
    </w:rPr>
  </w:style>
  <w:style w:type="paragraph" w:customStyle="1" w:styleId="242">
    <w:name w:val="标准正文"/>
    <w:basedOn w:val="1"/>
    <w:autoRedefine/>
    <w:qFormat/>
    <w:uiPriority w:val="0"/>
    <w:pPr>
      <w:widowControl/>
      <w:adjustRightInd/>
      <w:spacing w:line="240" w:lineRule="auto"/>
      <w:ind w:firstLine="420"/>
      <w:jc w:val="left"/>
    </w:pPr>
    <w:rPr>
      <w:rFonts w:ascii="宋体" w:hAnsi="Times New Roman"/>
      <w:kern w:val="0"/>
      <w:szCs w:val="20"/>
    </w:rPr>
  </w:style>
  <w:style w:type="paragraph" w:customStyle="1" w:styleId="243">
    <w:name w:val="p15"/>
    <w:basedOn w:val="1"/>
    <w:qFormat/>
    <w:uiPriority w:val="0"/>
    <w:pPr>
      <w:adjustRightInd/>
      <w:spacing w:line="240" w:lineRule="auto"/>
      <w:ind w:firstLine="420"/>
    </w:pPr>
    <w:rPr>
      <w:rFonts w:hint="eastAsia" w:ascii="宋体" w:hAnsi="宋体" w:cs="宋体"/>
      <w:kern w:val="0"/>
    </w:rPr>
  </w:style>
  <w:style w:type="paragraph" w:customStyle="1" w:styleId="244">
    <w:name w:val="五级条标题"/>
    <w:basedOn w:val="245"/>
    <w:next w:val="234"/>
    <w:autoRedefine/>
    <w:qFormat/>
    <w:uiPriority w:val="0"/>
    <w:pPr>
      <w:outlineLvl w:val="6"/>
    </w:pPr>
  </w:style>
  <w:style w:type="paragraph" w:customStyle="1" w:styleId="245">
    <w:name w:val="四级条标题"/>
    <w:basedOn w:val="1"/>
    <w:next w:val="234"/>
    <w:autoRedefine/>
    <w:qFormat/>
    <w:uiPriority w:val="0"/>
    <w:pPr>
      <w:widowControl/>
      <w:adjustRightInd/>
      <w:spacing w:beforeLines="50" w:afterLines="50" w:line="240" w:lineRule="auto"/>
      <w:jc w:val="left"/>
      <w:outlineLvl w:val="5"/>
    </w:pPr>
    <w:rPr>
      <w:rFonts w:ascii="黑体" w:hAnsi="Times New Roman" w:eastAsia="黑体"/>
      <w:kern w:val="0"/>
    </w:rPr>
  </w:style>
  <w:style w:type="paragraph" w:customStyle="1" w:styleId="246">
    <w:name w:val="二级无"/>
    <w:basedOn w:val="238"/>
    <w:qFormat/>
    <w:uiPriority w:val="0"/>
    <w:pPr>
      <w:numPr>
        <w:ilvl w:val="2"/>
        <w:numId w:val="5"/>
      </w:numPr>
      <w:spacing w:beforeLines="0" w:afterLines="0"/>
    </w:pPr>
    <w:rPr>
      <w:rFonts w:ascii="宋体" w:eastAsia="宋体"/>
    </w:rPr>
  </w:style>
  <w:style w:type="paragraph" w:customStyle="1" w:styleId="247">
    <w:name w:val="修订1"/>
    <w:hidden/>
    <w:unhideWhenUsed/>
    <w:qFormat/>
    <w:uiPriority w:val="99"/>
    <w:rPr>
      <w:rFonts w:ascii="Calibri" w:hAnsi="Calibri" w:eastAsia="宋体" w:cs="Times New Roman"/>
      <w:kern w:val="2"/>
      <w:sz w:val="21"/>
      <w:szCs w:val="21"/>
      <w:lang w:val="en-US" w:eastAsia="zh-CN" w:bidi="ar-SA"/>
    </w:rPr>
  </w:style>
  <w:style w:type="character" w:customStyle="1" w:styleId="248">
    <w:name w:val="批注文字 字符"/>
    <w:basedOn w:val="31"/>
    <w:link w:val="13"/>
    <w:semiHidden/>
    <w:qFormat/>
    <w:uiPriority w:val="99"/>
    <w:rPr>
      <w:kern w:val="2"/>
      <w:sz w:val="21"/>
      <w:szCs w:val="21"/>
    </w:rPr>
  </w:style>
  <w:style w:type="character" w:customStyle="1" w:styleId="249">
    <w:name w:val="批注主题 字符"/>
    <w:basedOn w:val="248"/>
    <w:link w:val="28"/>
    <w:semiHidden/>
    <w:qFormat/>
    <w:uiPriority w:val="99"/>
    <w:rPr>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5" Type="http://schemas.openxmlformats.org/officeDocument/2006/relationships/glossaryDocument" Target="glossary/document.xml"/><Relationship Id="rId64" Type="http://schemas.openxmlformats.org/officeDocument/2006/relationships/fontTable" Target="fontTable.xml"/><Relationship Id="rId63" Type="http://schemas.openxmlformats.org/officeDocument/2006/relationships/customXml" Target="../customXml/item2.xml"/><Relationship Id="rId62" Type="http://schemas.openxmlformats.org/officeDocument/2006/relationships/numbering" Target="numbering.xml"/><Relationship Id="rId61" Type="http://schemas.openxmlformats.org/officeDocument/2006/relationships/customXml" Target="../customXml/item1.xml"/><Relationship Id="rId60" Type="http://schemas.openxmlformats.org/officeDocument/2006/relationships/image" Target="media/image26.jpeg"/><Relationship Id="rId6" Type="http://schemas.openxmlformats.org/officeDocument/2006/relationships/header" Target="header2.xml"/><Relationship Id="rId59" Type="http://schemas.openxmlformats.org/officeDocument/2006/relationships/image" Target="media/image25.wmf"/><Relationship Id="rId58" Type="http://schemas.openxmlformats.org/officeDocument/2006/relationships/oleObject" Target="embeddings/oleObject21.bin"/><Relationship Id="rId57" Type="http://schemas.openxmlformats.org/officeDocument/2006/relationships/image" Target="media/image24.wmf"/><Relationship Id="rId56" Type="http://schemas.openxmlformats.org/officeDocument/2006/relationships/oleObject" Target="embeddings/oleObject20.bin"/><Relationship Id="rId55" Type="http://schemas.openxmlformats.org/officeDocument/2006/relationships/image" Target="media/image23.wmf"/><Relationship Id="rId54" Type="http://schemas.openxmlformats.org/officeDocument/2006/relationships/oleObject" Target="embeddings/oleObject19.bin"/><Relationship Id="rId53" Type="http://schemas.openxmlformats.org/officeDocument/2006/relationships/image" Target="media/image22.wmf"/><Relationship Id="rId52" Type="http://schemas.openxmlformats.org/officeDocument/2006/relationships/oleObject" Target="embeddings/oleObject18.bin"/><Relationship Id="rId51" Type="http://schemas.openxmlformats.org/officeDocument/2006/relationships/image" Target="media/image21.wmf"/><Relationship Id="rId50" Type="http://schemas.openxmlformats.org/officeDocument/2006/relationships/oleObject" Target="embeddings/oleObject17.bin"/><Relationship Id="rId5" Type="http://schemas.openxmlformats.org/officeDocument/2006/relationships/header" Target="header1.xml"/><Relationship Id="rId49" Type="http://schemas.openxmlformats.org/officeDocument/2006/relationships/image" Target="media/image20.wmf"/><Relationship Id="rId48" Type="http://schemas.openxmlformats.org/officeDocument/2006/relationships/oleObject" Target="embeddings/oleObject16.bin"/><Relationship Id="rId47" Type="http://schemas.openxmlformats.org/officeDocument/2006/relationships/image" Target="media/image19.wmf"/><Relationship Id="rId46" Type="http://schemas.openxmlformats.org/officeDocument/2006/relationships/oleObject" Target="embeddings/oleObject15.bin"/><Relationship Id="rId45" Type="http://schemas.openxmlformats.org/officeDocument/2006/relationships/image" Target="media/image18.wmf"/><Relationship Id="rId44" Type="http://schemas.openxmlformats.org/officeDocument/2006/relationships/oleObject" Target="embeddings/oleObject14.bin"/><Relationship Id="rId43" Type="http://schemas.openxmlformats.org/officeDocument/2006/relationships/image" Target="media/image17.wmf"/><Relationship Id="rId42" Type="http://schemas.openxmlformats.org/officeDocument/2006/relationships/oleObject" Target="embeddings/oleObject13.bin"/><Relationship Id="rId41" Type="http://schemas.openxmlformats.org/officeDocument/2006/relationships/image" Target="media/image16.wmf"/><Relationship Id="rId40" Type="http://schemas.openxmlformats.org/officeDocument/2006/relationships/oleObject" Target="embeddings/oleObject12.bin"/><Relationship Id="rId4" Type="http://schemas.openxmlformats.org/officeDocument/2006/relationships/endnotes" Target="endnotes.xml"/><Relationship Id="rId39" Type="http://schemas.openxmlformats.org/officeDocument/2006/relationships/image" Target="media/image15.wmf"/><Relationship Id="rId38" Type="http://schemas.openxmlformats.org/officeDocument/2006/relationships/oleObject" Target="embeddings/oleObject11.bin"/><Relationship Id="rId37" Type="http://schemas.openxmlformats.org/officeDocument/2006/relationships/image" Target="media/image14.wmf"/><Relationship Id="rId36" Type="http://schemas.openxmlformats.org/officeDocument/2006/relationships/image" Target="media/image13.wmf"/><Relationship Id="rId35" Type="http://schemas.openxmlformats.org/officeDocument/2006/relationships/image" Target="media/image12.wmf"/><Relationship Id="rId34" Type="http://schemas.openxmlformats.org/officeDocument/2006/relationships/image" Target="media/image11.wmf"/><Relationship Id="rId33" Type="http://schemas.openxmlformats.org/officeDocument/2006/relationships/image" Target="media/image10.wmf"/><Relationship Id="rId32" Type="http://schemas.openxmlformats.org/officeDocument/2006/relationships/oleObject" Target="embeddings/oleObject10.bin"/><Relationship Id="rId31" Type="http://schemas.openxmlformats.org/officeDocument/2006/relationships/image" Target="media/image9.wmf"/><Relationship Id="rId30" Type="http://schemas.openxmlformats.org/officeDocument/2006/relationships/oleObject" Target="embeddings/oleObject9.bin"/><Relationship Id="rId3" Type="http://schemas.openxmlformats.org/officeDocument/2006/relationships/footnotes" Target="footnotes.xml"/><Relationship Id="rId29" Type="http://schemas.openxmlformats.org/officeDocument/2006/relationships/image" Target="media/image8.wmf"/><Relationship Id="rId28" Type="http://schemas.openxmlformats.org/officeDocument/2006/relationships/oleObject" Target="embeddings/oleObject8.bin"/><Relationship Id="rId27" Type="http://schemas.openxmlformats.org/officeDocument/2006/relationships/image" Target="media/image7.wmf"/><Relationship Id="rId26" Type="http://schemas.openxmlformats.org/officeDocument/2006/relationships/oleObject" Target="embeddings/oleObject7.bin"/><Relationship Id="rId25" Type="http://schemas.openxmlformats.org/officeDocument/2006/relationships/image" Target="media/image6.wmf"/><Relationship Id="rId24" Type="http://schemas.openxmlformats.org/officeDocument/2006/relationships/oleObject" Target="embeddings/oleObject6.bin"/><Relationship Id="rId23" Type="http://schemas.openxmlformats.org/officeDocument/2006/relationships/image" Target="media/image5.wmf"/><Relationship Id="rId22" Type="http://schemas.openxmlformats.org/officeDocument/2006/relationships/oleObject" Target="embeddings/oleObject5.bin"/><Relationship Id="rId21" Type="http://schemas.openxmlformats.org/officeDocument/2006/relationships/image" Target="media/image4.wmf"/><Relationship Id="rId20" Type="http://schemas.openxmlformats.org/officeDocument/2006/relationships/oleObject" Target="embeddings/oleObject4.bin"/><Relationship Id="rId2" Type="http://schemas.openxmlformats.org/officeDocument/2006/relationships/settings" Target="settings.xml"/><Relationship Id="rId19" Type="http://schemas.openxmlformats.org/officeDocument/2006/relationships/image" Target="media/image3.wmf"/><Relationship Id="rId18" Type="http://schemas.openxmlformats.org/officeDocument/2006/relationships/oleObject" Target="embeddings/oleObject3.bin"/><Relationship Id="rId17" Type="http://schemas.openxmlformats.org/officeDocument/2006/relationships/image" Target="media/image2.wmf"/><Relationship Id="rId16" Type="http://schemas.openxmlformats.org/officeDocument/2006/relationships/oleObject" Target="embeddings/oleObject2.bin"/><Relationship Id="rId15" Type="http://schemas.openxmlformats.org/officeDocument/2006/relationships/image" Target="media/image1.wmf"/><Relationship Id="rId14" Type="http://schemas.openxmlformats.org/officeDocument/2006/relationships/oleObject" Target="embeddings/oleObject1.bin"/><Relationship Id="rId13" Type="http://schemas.openxmlformats.org/officeDocument/2006/relationships/theme" Target="theme/theme1.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34892;&#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304FAA722D9420494B6CA814AFA1336"/>
        <w:style w:val=""/>
        <w:category>
          <w:name w:val="常规"/>
          <w:gallery w:val="placeholder"/>
        </w:category>
        <w:types>
          <w:type w:val="bbPlcHdr"/>
        </w:types>
        <w:behaviors>
          <w:behavior w:val="content"/>
        </w:behaviors>
        <w:description w:val=""/>
        <w:guid w:val="{7183FAAB-F5F1-4CE6-8A34-AAA9CC2ED15C}"/>
      </w:docPartPr>
      <w:docPartBody>
        <w:p w14:paraId="34FE6EAB">
          <w:pPr>
            <w:pStyle w:val="5"/>
          </w:pPr>
          <w:r>
            <w:rPr>
              <w:rStyle w:val="4"/>
              <w:rFonts w:hint="eastAsia"/>
            </w:rPr>
            <w:t>单击或点击此处输入文字。</w:t>
          </w:r>
        </w:p>
      </w:docPartBody>
    </w:docPart>
    <w:docPart>
      <w:docPartPr>
        <w:name w:val="1B619B99B24B469BBD7DBF1C77B62D01"/>
        <w:style w:val=""/>
        <w:category>
          <w:name w:val="常规"/>
          <w:gallery w:val="placeholder"/>
        </w:category>
        <w:types>
          <w:type w:val="bbPlcHdr"/>
        </w:types>
        <w:behaviors>
          <w:behavior w:val="content"/>
        </w:behaviors>
        <w:description w:val=""/>
        <w:guid w:val="{706AF55A-9EA4-432D-B75C-DB2F81B7CD5C}"/>
      </w:docPartPr>
      <w:docPartBody>
        <w:p w14:paraId="7E1892A4">
          <w:pPr>
            <w:pStyle w:val="6"/>
          </w:pPr>
          <w:r>
            <w:rPr>
              <w:rStyle w:val="4"/>
              <w:rFonts w:hint="eastAsia"/>
            </w:rPr>
            <w:t>选择一项。</w:t>
          </w:r>
        </w:p>
      </w:docPartBody>
    </w:docPart>
    <w:docPart>
      <w:docPartPr>
        <w:name w:val="DFCE370B2E794AF19D6CE1F862046211"/>
        <w:style w:val=""/>
        <w:category>
          <w:name w:val="常规"/>
          <w:gallery w:val="placeholder"/>
        </w:category>
        <w:types>
          <w:type w:val="bbPlcHdr"/>
        </w:types>
        <w:behaviors>
          <w:behavior w:val="content"/>
        </w:behaviors>
        <w:description w:val=""/>
        <w:guid w:val="{4D1B44CA-28B6-4235-92E7-92F5D93FED8B}"/>
      </w:docPartPr>
      <w:docPartBody>
        <w:p w14:paraId="1B2D1B3F">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59A"/>
    <w:rsid w:val="000E059A"/>
    <w:rsid w:val="000F0934"/>
    <w:rsid w:val="000F1435"/>
    <w:rsid w:val="0020049A"/>
    <w:rsid w:val="002519C0"/>
    <w:rsid w:val="00274112"/>
    <w:rsid w:val="00295FAE"/>
    <w:rsid w:val="002E07BC"/>
    <w:rsid w:val="00350C20"/>
    <w:rsid w:val="00385193"/>
    <w:rsid w:val="005366D7"/>
    <w:rsid w:val="005700EB"/>
    <w:rsid w:val="005A24C7"/>
    <w:rsid w:val="005E6DEE"/>
    <w:rsid w:val="00640A27"/>
    <w:rsid w:val="00693176"/>
    <w:rsid w:val="006E4B71"/>
    <w:rsid w:val="006F5D44"/>
    <w:rsid w:val="007229EF"/>
    <w:rsid w:val="00737FBE"/>
    <w:rsid w:val="0081770E"/>
    <w:rsid w:val="00882FB5"/>
    <w:rsid w:val="00896DAF"/>
    <w:rsid w:val="008A6075"/>
    <w:rsid w:val="00912CE6"/>
    <w:rsid w:val="009B45D9"/>
    <w:rsid w:val="00A2152A"/>
    <w:rsid w:val="00A466BC"/>
    <w:rsid w:val="00A52018"/>
    <w:rsid w:val="00AA2A1B"/>
    <w:rsid w:val="00AB4E71"/>
    <w:rsid w:val="00B11F36"/>
    <w:rsid w:val="00E23DAF"/>
    <w:rsid w:val="00E3060E"/>
    <w:rsid w:val="00E60873"/>
    <w:rsid w:val="00EB25DC"/>
    <w:rsid w:val="00EB3A69"/>
    <w:rsid w:val="00EC08AB"/>
    <w:rsid w:val="00ED08E3"/>
    <w:rsid w:val="00F1701E"/>
    <w:rsid w:val="00F36E78"/>
    <w:rsid w:val="00F7739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304FAA722D9420494B6CA814AFA133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1B619B99B24B469BBD7DBF1C77B62D0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DFCE370B2E794AF19D6CE1F862046211"/>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57EB48-88C3-4E5D-8D64-7B180ABD69A3}">
  <ds:schemaRefs/>
</ds:datastoreItem>
</file>

<file path=docProps/app.xml><?xml version="1.0" encoding="utf-8"?>
<Properties xmlns="http://schemas.openxmlformats.org/officeDocument/2006/extended-properties" xmlns:vt="http://schemas.openxmlformats.org/officeDocument/2006/docPropsVTypes">
  <Template>行业标准.dotx</Template>
  <Company>PCMI</Company>
  <Pages>14</Pages>
  <Words>5908</Words>
  <Characters>7573</Characters>
  <Lines>72</Lines>
  <Paragraphs>20</Paragraphs>
  <TotalTime>18</TotalTime>
  <ScaleCrop>false</ScaleCrop>
  <LinksUpToDate>false</LinksUpToDate>
  <CharactersWithSpaces>7746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2024-12-02T06:18:00Z</dcterms:created>
  <dc:creator>yong wang</dc:creator>
  <cp:lastModifiedBy>WPS_1602501196</cp:lastModifiedBy>
  <cp:lastPrinted>2021-02-02T08:18:00Z</cp:lastPrinted>
  <dcterms:modified xsi:type="dcterms:W3CDTF">2025-02-19T08:02:13Z</dcterms:modified>
  <dc:title>行业标准</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2052-12.1.0.19302</vt:lpwstr>
  </property>
  <property fmtid="{D5CDD505-2E9C-101B-9397-08002B2CF9AE}" pid="15" name="ICV">
    <vt:lpwstr>8159AE5AF47D4F92B64B1EC1A0E44096_13</vt:lpwstr>
  </property>
  <property fmtid="{D5CDD505-2E9C-101B-9397-08002B2CF9AE}" pid="16" name="KSOTemplateDocerSaveRecord">
    <vt:lpwstr>eyJoZGlkIjoiZDUyYmQ0NjQwMWJiOTY5Y2E5MmRhMWQ1Y2I5YWEzNjgiLCJ1c2VySWQiOiIxMTMwNTc5NjA0In0=</vt:lpwstr>
  </property>
</Properties>
</file>